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EC862" w14:textId="77777777" w:rsidR="00D715E5" w:rsidRPr="00672E50" w:rsidRDefault="00D715E5" w:rsidP="00D715E5">
      <w:pPr>
        <w:spacing w:after="0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672E50">
        <w:rPr>
          <w:rFonts w:ascii="Lato" w:eastAsia="Times New Roman" w:hAnsi="Lato"/>
          <w:b/>
          <w:bCs/>
          <w:sz w:val="24"/>
          <w:szCs w:val="24"/>
          <w:lang w:eastAsia="pl-PL"/>
        </w:rPr>
        <w:t>Załącznik nr 5 do OPZ</w:t>
      </w:r>
    </w:p>
    <w:p w14:paraId="678A4033" w14:textId="77777777" w:rsidR="00D715E5" w:rsidRPr="00672E50" w:rsidRDefault="00D715E5" w:rsidP="00D715E5">
      <w:pPr>
        <w:spacing w:after="0"/>
        <w:jc w:val="left"/>
        <w:rPr>
          <w:rFonts w:ascii="Lato" w:eastAsia="Times New Roman" w:hAnsi="Lato"/>
          <w:b/>
          <w:sz w:val="24"/>
          <w:szCs w:val="24"/>
          <w:lang w:eastAsia="pl-PL"/>
        </w:rPr>
      </w:pPr>
    </w:p>
    <w:p w14:paraId="3DCDD43F" w14:textId="77777777" w:rsidR="00D715E5" w:rsidRPr="00672E50" w:rsidRDefault="00D715E5" w:rsidP="00D715E5">
      <w:pPr>
        <w:spacing w:before="4440" w:after="0"/>
        <w:jc w:val="right"/>
        <w:rPr>
          <w:rFonts w:ascii="Lato" w:eastAsia="Times New Roman" w:hAnsi="Lato"/>
          <w:b/>
          <w:bCs/>
          <w:sz w:val="56"/>
          <w:szCs w:val="56"/>
          <w:lang w:eastAsia="pl-PL"/>
        </w:rPr>
      </w:pPr>
      <w:r w:rsidRPr="00672E50">
        <w:rPr>
          <w:rFonts w:ascii="Lato" w:eastAsia="Times New Roman" w:hAnsi="Lato"/>
          <w:b/>
          <w:bCs/>
          <w:sz w:val="56"/>
          <w:szCs w:val="56"/>
          <w:lang w:eastAsia="pl-PL"/>
        </w:rPr>
        <w:t>Procedura odbioru przedmiotu Umowy</w:t>
      </w:r>
      <w:bookmarkStart w:id="0" w:name="_Toc249789993"/>
      <w:bookmarkStart w:id="1" w:name="_Toc320613661"/>
      <w:bookmarkStart w:id="2" w:name="_Toc321123614"/>
      <w:bookmarkStart w:id="3" w:name="_Toc140645892"/>
      <w:bookmarkStart w:id="4" w:name="_Toc51467496"/>
      <w:r w:rsidRPr="00672E50">
        <w:rPr>
          <w:rFonts w:ascii="Lato" w:eastAsia="Times New Roman" w:hAnsi="Lato"/>
          <w:b/>
          <w:bCs/>
          <w:sz w:val="56"/>
          <w:szCs w:val="56"/>
          <w:lang w:eastAsia="pl-PL"/>
        </w:rPr>
        <w:br w:type="page"/>
      </w:r>
    </w:p>
    <w:p w14:paraId="1C54480F" w14:textId="77777777" w:rsidR="00D715E5" w:rsidRPr="00672E50" w:rsidRDefault="00D715E5" w:rsidP="00D715E5">
      <w:pPr>
        <w:pStyle w:val="Nagwek1"/>
        <w:keepLines w:val="0"/>
        <w:numPr>
          <w:ilvl w:val="0"/>
          <w:numId w:val="1"/>
        </w:numPr>
        <w:tabs>
          <w:tab w:val="num" w:pos="360"/>
          <w:tab w:val="num" w:pos="432"/>
        </w:tabs>
        <w:spacing w:before="240"/>
        <w:ind w:left="432" w:hanging="432"/>
        <w:jc w:val="left"/>
        <w:rPr>
          <w:rStyle w:val="Nagwek2Znak1"/>
          <w:rFonts w:ascii="Lato" w:hAnsi="Lato"/>
          <w:b/>
        </w:rPr>
      </w:pPr>
      <w:r w:rsidRPr="00672E50">
        <w:rPr>
          <w:rFonts w:ascii="Lato" w:hAnsi="Lato" w:cstheme="minorBidi"/>
          <w:color w:val="auto"/>
          <w:kern w:val="32"/>
          <w:sz w:val="28"/>
          <w:szCs w:val="28"/>
          <w:lang w:eastAsia="pl-PL"/>
        </w:rPr>
        <w:lastRenderedPageBreak/>
        <w:t>Odbiór Usługi Utrzymania Systemu</w:t>
      </w:r>
      <w:r w:rsidRPr="00672E50">
        <w:rPr>
          <w:rStyle w:val="Nagwek2Znak1"/>
          <w:rFonts w:ascii="Lato" w:hAnsi="Lato"/>
        </w:rPr>
        <w:t>.</w:t>
      </w:r>
    </w:p>
    <w:p w14:paraId="685D32C0" w14:textId="77777777" w:rsidR="00D715E5" w:rsidRPr="00672E50" w:rsidRDefault="00D715E5" w:rsidP="00D715E5">
      <w:pPr>
        <w:numPr>
          <w:ilvl w:val="0"/>
          <w:numId w:val="2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Zamawiający dokona odbioru Usługi Utrzymania Systemu za każdy Okres rozliczeniowy na podstawie zaakceptowanego przez Zamawiającego i Wykonawcę Protokołu Odbioru Usługi Utrzymania, którego wzór stanowi Załącznik nr</w:t>
      </w:r>
      <w:r w:rsidRPr="00672E50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13 do OPZ.</w:t>
      </w:r>
    </w:p>
    <w:p w14:paraId="5A70DEA5" w14:textId="77777777" w:rsidR="00D715E5" w:rsidRPr="00672E50" w:rsidRDefault="00D715E5" w:rsidP="00D715E5">
      <w:pPr>
        <w:pStyle w:val="Akapitzlist"/>
        <w:numPr>
          <w:ilvl w:val="0"/>
          <w:numId w:val="2"/>
        </w:numPr>
        <w:spacing w:after="0"/>
        <w:ind w:left="714" w:hanging="357"/>
        <w:jc w:val="left"/>
        <w:rPr>
          <w:rFonts w:ascii="Lato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W ramach czynności odbioru Usługi Utrzymania Systemu Wykonawca zobowiązuje się do przesłania Zamawiającemu w formie elektronicznej w terminie 3 Dni roboczych od daty zakończenia każdego trzymiesięcznego Okresu rozliczeniowego, podpisany Protokół Odbioru Usługi Utrzymania Systemu, którego wzór stanowi Załącznik nr 13</w:t>
      </w:r>
      <w:r w:rsidRPr="00672E50">
        <w:rPr>
          <w:rFonts w:ascii="Lato" w:eastAsiaTheme="minorEastAsia" w:hAnsi="Lato"/>
          <w:i/>
          <w:iCs/>
          <w:color w:val="auto"/>
          <w:sz w:val="22"/>
          <w:szCs w:val="22"/>
          <w:lang w:eastAsia="en-US"/>
        </w:rPr>
        <w:t xml:space="preserve"> </w:t>
      </w: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do OPZ, zawierający rejestr, o którym mowa w pkt 5.6. OPZ.  Wykonawca musi zawrzeć w rejestrze zestawienie wszystkich czynności w danym Okresie rozliczeniowym. Zamawiający w ciągu 10 Dni roboczych przekaże Wykonawcy podpisany protokół lub powiadomi o jego nieprawidłowościach.</w:t>
      </w:r>
    </w:p>
    <w:p w14:paraId="371A3330" w14:textId="77777777" w:rsidR="00D715E5" w:rsidRPr="00672E50" w:rsidRDefault="00D715E5" w:rsidP="00D715E5">
      <w:pPr>
        <w:numPr>
          <w:ilvl w:val="0"/>
          <w:numId w:val="2"/>
        </w:numPr>
        <w:spacing w:after="0"/>
        <w:ind w:left="714" w:hanging="357"/>
        <w:contextualSpacing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przypadku stwierdzenia nieprawidłowości, Zamawiający zwraca Protokół Odbioru Usługi Utrzymania Systemu Wykonawcy w celu jego uzupełnienia lub poprawienia. Wykonawca usunie nieprawidłowości w terminie 3 Dni roboczych i ponownie przedstawi Protokół Odbioru Usługi Utrzymania Systemu do akceptacji Zamawiającego. </w:t>
      </w:r>
    </w:p>
    <w:p w14:paraId="032A8AB6" w14:textId="77777777" w:rsidR="00D715E5" w:rsidRPr="00672E50" w:rsidRDefault="00D715E5" w:rsidP="00D715E5">
      <w:pPr>
        <w:pStyle w:val="Nagwek1"/>
        <w:keepLines w:val="0"/>
        <w:numPr>
          <w:ilvl w:val="0"/>
          <w:numId w:val="1"/>
        </w:numPr>
        <w:tabs>
          <w:tab w:val="num" w:pos="360"/>
          <w:tab w:val="num" w:pos="432"/>
        </w:tabs>
        <w:spacing w:before="240"/>
        <w:ind w:left="432" w:hanging="432"/>
        <w:jc w:val="left"/>
        <w:rPr>
          <w:rFonts w:ascii="Lato" w:hAnsi="Lato" w:cstheme="minorBidi"/>
          <w:color w:val="auto"/>
          <w:kern w:val="32"/>
          <w:sz w:val="28"/>
          <w:szCs w:val="28"/>
          <w:lang w:eastAsia="pl-PL"/>
        </w:rPr>
      </w:pPr>
      <w:r w:rsidRPr="00672E50">
        <w:rPr>
          <w:rFonts w:ascii="Lato" w:hAnsi="Lato" w:cstheme="minorBidi"/>
          <w:color w:val="auto"/>
          <w:kern w:val="32"/>
          <w:sz w:val="28"/>
          <w:szCs w:val="28"/>
          <w:lang w:eastAsia="pl-PL"/>
        </w:rPr>
        <w:t>Odbiór Rozwoju Systemu - Zdefiniowanego oraz na Zgłoszenie.</w:t>
      </w:r>
    </w:p>
    <w:p w14:paraId="12182C88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Za zakończenie realizacji Zadania albo Zmiany uznaje się umieszczenie na dedykowanych zasobach elementów wytworzonych w ramach realizacji Zadania albo Zmiany o których mowa w </w:t>
      </w:r>
      <w:proofErr w:type="spellStart"/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ppkt</w:t>
      </w:r>
      <w:proofErr w:type="spellEnd"/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. 3 poniżej oraz przekazanie Zamawiającemu informacji o zakończeniu realizacji Zadania albo Zmiany poprzez:</w:t>
      </w:r>
    </w:p>
    <w:p w14:paraId="44710AAA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oznaczenie statusu Zadania albo Zmiany jako rozwiązane w systemie udostępnionym przez Zamawiającego albo</w:t>
      </w:r>
    </w:p>
    <w:p w14:paraId="3FB30183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pocztę elektroniczną.</w:t>
      </w:r>
    </w:p>
    <w:p w14:paraId="514DCBB1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Wykonawca zamieszcza elementy wymienione w </w:t>
      </w:r>
      <w:proofErr w:type="spellStart"/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ppkt</w:t>
      </w:r>
      <w:proofErr w:type="spellEnd"/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. 3)  lit. a-f poniżej, na zasobie udostępnionym przez Wykonawcę dla Zamawiającego, a pozostałe elementy na zasobie wskazanym przez Zamawiającego.</w:t>
      </w:r>
    </w:p>
    <w:p w14:paraId="308C1B9F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ramach realizacji Zadania albo Zmiany, Wykonawca dostarcza Zamawiającemu:</w:t>
      </w:r>
    </w:p>
    <w:p w14:paraId="0A0C5FD5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wersję instalacyjną Nowej wersji Systemu,</w:t>
      </w:r>
    </w:p>
    <w:p w14:paraId="17C52348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instrukcję instalacji Nowej wersji Systemu,</w:t>
      </w:r>
    </w:p>
    <w:p w14:paraId="00E73DC7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biuletyn zmian,</w:t>
      </w:r>
    </w:p>
    <w:p w14:paraId="4239ACBF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kod źródłowy Systemu dostosowanego do umieszczenia w repozytorium GIT (System Kontroli Wersji) dostępnego w sieci resortu finansów,</w:t>
      </w:r>
    </w:p>
    <w:p w14:paraId="39A4F0BB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raport z testów</w:t>
      </w:r>
      <w:r w:rsidRPr="00672E50">
        <w:rPr>
          <w:rFonts w:ascii="Lato" w:hAnsi="Lato"/>
        </w:rPr>
        <w:t xml:space="preserve"> 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przeprowadzonych przez Wykonawcę wraz z Planem Testów,</w:t>
      </w:r>
    </w:p>
    <w:p w14:paraId="07B416F8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skrypty do automatyzacji testów,</w:t>
      </w:r>
    </w:p>
    <w:p w14:paraId="22E1E430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zaktualizowaną lub wytworzoną Dokumentację Systemu,</w:t>
      </w:r>
    </w:p>
    <w:p w14:paraId="4EFBD2D6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hAnsi="Lato"/>
          <w:sz w:val="22"/>
          <w:szCs w:val="22"/>
        </w:rPr>
        <w:t>licencje na oprogramowanie w ramach rozbudowy Platformy Programowej wraz z warunkami licencyjnymi</w:t>
      </w:r>
    </w:p>
    <w:p w14:paraId="2DD44DEF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hAnsi="Lato"/>
          <w:sz w:val="22"/>
          <w:szCs w:val="22"/>
        </w:rPr>
        <w:t>raport potwierdzający przeprowadzenie przeszkolenia</w:t>
      </w:r>
    </w:p>
    <w:p w14:paraId="44BE9CC5" w14:textId="77777777" w:rsidR="00D715E5" w:rsidRPr="00672E50" w:rsidRDefault="00D715E5" w:rsidP="00D715E5">
      <w:pPr>
        <w:pStyle w:val="Akapitzlist"/>
        <w:numPr>
          <w:ilvl w:val="3"/>
          <w:numId w:val="3"/>
        </w:numPr>
        <w:jc w:val="left"/>
        <w:rPr>
          <w:rFonts w:ascii="Lato" w:hAnsi="Lato"/>
          <w:color w:val="auto"/>
          <w:sz w:val="22"/>
          <w:szCs w:val="22"/>
          <w:lang w:eastAsia="en-US"/>
        </w:rPr>
      </w:pPr>
      <w:r w:rsidRPr="00672E50">
        <w:rPr>
          <w:rFonts w:ascii="Lato" w:hAnsi="Lato"/>
          <w:sz w:val="22"/>
          <w:szCs w:val="22"/>
        </w:rPr>
        <w:t>raport z badania wymagań dostępności Komponentu Komunikacyjnego (jeśli dotyczy).</w:t>
      </w:r>
    </w:p>
    <w:p w14:paraId="5F910E53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bookmarkStart w:id="5" w:name="_Ref166577519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lastRenderedPageBreak/>
        <w:t>Zamawiający w ramach procedury odbioru Zadania albo Zmiany dokona weryfikacji spełnienia wymagań opisanych w OPZ, w Załączniku nr 2 do OPZ albo we Wniosku Zmiany. Zamawiający przeprowadzi testy zgodnie z procedurą opisaną w Załączniku nr 6 do OPZ. Zamawiający zweryfikuje przekazane kody źródłowe zgodnie z wymaganiami i kryteriami opisanymi w Załączniku nr 6 do OPZ. Zamawiający zweryfikuje zaktualizowaną albo wytworzoną Dokumentację Systemu zgodnie z wymaganiami i kryteriami zawartymi w Załączniku nr 4 do OPZ oraz realizację przeszkolenia (jeśli dotyczy) zgodnie z wymaganiami opisanymi w Załączniku nr 10 do OPZ.</w:t>
      </w:r>
      <w:bookmarkEnd w:id="5"/>
    </w:p>
    <w:p w14:paraId="5ADF8168" w14:textId="77777777" w:rsidR="00D715E5" w:rsidRPr="00672E50" w:rsidRDefault="00D715E5" w:rsidP="00D715E5">
      <w:pPr>
        <w:pStyle w:val="Akapitzlist"/>
        <w:spacing w:after="160"/>
        <w:ind w:left="709" w:firstLine="142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ramach odbioru Zamawiający: </w:t>
      </w:r>
    </w:p>
    <w:p w14:paraId="4B746B44" w14:textId="77777777" w:rsidR="00D715E5" w:rsidRPr="00672E50" w:rsidRDefault="00D715E5" w:rsidP="00D715E5">
      <w:pPr>
        <w:pStyle w:val="Akapitzlist"/>
        <w:numPr>
          <w:ilvl w:val="3"/>
          <w:numId w:val="4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zaakceptuje  Zadanie albo Zmianę bez uwag;</w:t>
      </w:r>
    </w:p>
    <w:p w14:paraId="4C43EC8A" w14:textId="77777777" w:rsidR="00D715E5" w:rsidRPr="00672E50" w:rsidRDefault="00D715E5" w:rsidP="00D715E5">
      <w:pPr>
        <w:pStyle w:val="Akapitzlist"/>
        <w:numPr>
          <w:ilvl w:val="3"/>
          <w:numId w:val="4"/>
        </w:numPr>
        <w:spacing w:after="1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zgłosi uwagi do Zadania albo Zmiany;</w:t>
      </w:r>
    </w:p>
    <w:p w14:paraId="64D645FE" w14:textId="77777777" w:rsidR="00D715E5" w:rsidRPr="00672E50" w:rsidRDefault="00D715E5" w:rsidP="00D715E5">
      <w:pPr>
        <w:pStyle w:val="Akapitzlist"/>
        <w:numPr>
          <w:ilvl w:val="3"/>
          <w:numId w:val="4"/>
        </w:numPr>
        <w:spacing w:after="0"/>
        <w:ind w:left="1560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odrzuci Zadanie albo Zmianę;</w:t>
      </w:r>
    </w:p>
    <w:p w14:paraId="0B4815A4" w14:textId="77777777" w:rsidR="00D715E5" w:rsidRPr="00672E50" w:rsidRDefault="00D715E5" w:rsidP="00D715E5">
      <w:pPr>
        <w:spacing w:after="0"/>
        <w:ind w:left="840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i poinformuje o tym Wykonawcę za pośrednictwem systemu CSD lub poczty elektronicznej lub </w:t>
      </w:r>
      <w:r w:rsidRPr="00672E50">
        <w:rPr>
          <w:rFonts w:ascii="Lato" w:eastAsiaTheme="minorEastAsia" w:hAnsi="Lato" w:cs="Times New Roman"/>
          <w:color w:val="auto"/>
          <w:sz w:val="22"/>
          <w:szCs w:val="22"/>
          <w:lang w:eastAsia="en-US"/>
        </w:rPr>
        <w:t>poprzez inny system udostępniony przez Zamawiającego</w:t>
      </w: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. </w:t>
      </w:r>
    </w:p>
    <w:p w14:paraId="6772EB6C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W ramach procedury odbioru Zamawiający zweryfikuje raport z testów akceptacyjnych wraz z rekomendacją, który jest częścią Procedury Wytwarzania Oprogramowania, stanowiącej Załącznik nr 14 do OPZ.</w:t>
      </w:r>
    </w:p>
    <w:p w14:paraId="3EBE8CF0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zaakceptuje Zadanie albo Zmianę bez uwag, gdy spełniają one wymagania i kryteria, o których mowa w </w:t>
      </w:r>
      <w:proofErr w:type="spellStart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_Ref166577519 \r \h  \* MERGEFORMAT </w:instrTex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4)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</w:t>
      </w:r>
    </w:p>
    <w:p w14:paraId="2F31B2F2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bookmarkStart w:id="6" w:name="_Ref166577597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 przypadku, gdy Zadanie albo Zmiana nie spełnia wymagań lub kryteriów, o których mowa w </w:t>
      </w:r>
      <w:proofErr w:type="spellStart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_Ref166577519 \r \h  \* MERGEFORMAT </w:instrTex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4)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Zamawiający zgłosi Wykonawcy uwagi na formularzu, którego wzór stanowi Załącznik nr 15 do OPZ, za pośrednictwem systemu CSD lub poczty elektronicznej lub </w:t>
      </w: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poprzez inny system udostępniony przez Zamawiającego 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, wyznaczając Wykonawcy termin 10 dni na uwzględnienie uwag Zamawiającego.</w:t>
      </w:r>
      <w:bookmarkEnd w:id="6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</w:p>
    <w:p w14:paraId="20AACD00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bookmarkStart w:id="7" w:name="_Ref166577603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Wykonawca w terminie określonym przez Zamawiającego uwzględni uwagi Zamawiającego i poinformuje Zamawiającego o tym fakcie za pośrednictwem systemu CSD lub poczty elektronicznej lub </w:t>
      </w: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poprzez inny system udostępniony przez Zamawiającego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Zamawiający ponownie zweryfikuje prawidłowość wykonania Zadania albo Zmiany. Zamawiający zaakceptuje Zadanie albo Zmianę bez uwag, gdy spełnia ona wszystkie wymagania i kryteria, o których mowa w </w:t>
      </w:r>
      <w:proofErr w:type="spellStart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_Ref166577519 \r \h  \* MERGEFORMAT </w:instrTex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4)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W przypadku przekroczenia przez Wykonawcę terminu na uwzględnienie uwag, Zamawiający uprawniony będzie do naliczenia kar umownych z tytułu niedochowania terminu na uwzględnienie uwag .</w:t>
      </w:r>
      <w:bookmarkEnd w:id="7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</w:t>
      </w:r>
    </w:p>
    <w:p w14:paraId="53873FBB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uprawniony będzie do odrzucenia Zadania albo Zmiany w sytuacji, gdy po procedurze odbioru określonej w </w:t>
      </w:r>
      <w:proofErr w:type="spellStart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_Ref166577597 \r \h  \* MERGEFORMAT </w:instrTex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7)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 i </w:t>
      </w:r>
      <w:proofErr w:type="spellStart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_Ref166577603 \r \h  \* MERGEFORMAT </w:instrTex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8)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, Zadanie albo Zmiana nie spełnia wymagań  i kryteriów, o których mowa w </w:t>
      </w:r>
      <w:proofErr w:type="spellStart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ppkt</w:t>
      </w:r>
      <w:proofErr w:type="spellEnd"/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. 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begin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instrText xml:space="preserve"> REF _Ref166577519 \r \h  \* MERGEFORMAT </w:instrTex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separate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4)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fldChar w:fldCharType="end"/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>. W takiej sytuacji, Zamawiający uprawniony będzie do naliczenia kar umownych z tytułu niedochowania terminu realizacji Zadania albo Zmiany. Zastrzeżenia będące powodem</w:t>
      </w: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 odrzucenia Zadania albo Zmiany zostaną wskazane przez Zamawiającego w Protokole Odbioru Zmiany/Zadania, stanowiącym Załącznik nr 11 do OPZ. </w:t>
      </w:r>
    </w:p>
    <w:p w14:paraId="06A4D4C2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Czas, w którym Zamawiający weryfikuje dostarczone Zadanie  albo Zmianę, nie jest uwzględniany przy wyliczaniu kar z tytułu niedochowania terminu.</w:t>
      </w:r>
    </w:p>
    <w:p w14:paraId="7C82D88F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 w:cs="Arial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t xml:space="preserve">Zamawiający potwierdzi odbiór Zadania albo Zmiany poprzez podpisanie bez zastrzeżeń Protokołu Odbioru Zmiany/Zadania, stanowiącego Załącznik nr 11 do OPZ, sporządzonego przez Wykonawcę. W przypadku wystąpienia dopuszczalnych </w:t>
      </w:r>
      <w:r w:rsidRPr="00672E50">
        <w:rPr>
          <w:rFonts w:ascii="Lato" w:eastAsiaTheme="minorEastAsia" w:hAnsi="Lato" w:cs="Arial"/>
          <w:color w:val="auto"/>
          <w:sz w:val="22"/>
          <w:szCs w:val="22"/>
          <w:lang w:eastAsia="en-US"/>
        </w:rPr>
        <w:lastRenderedPageBreak/>
        <w:t>błędów w ramach kryteriów jakościowych opisanych w Załączniku nr 6 do OPZ, Zamawiający zgłosi Wykonawcy konieczność poprawy tych błędów, zgodnie z procedurą usuwania Błędów opisaną w OPZ, w pkt. 5.2, z zachowaniem ich klasyfikacji.</w:t>
      </w:r>
    </w:p>
    <w:p w14:paraId="42BAEE18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W celu rozliczenia Zadania albo Zmiany Wykonawca sporządzi na koniec każdego Okresu rozliczeniowego Protokół  Odbioru Rozwoju Systemu, stanowiący Załącznik nr 12 do OPZ. Podpisany przez Zamawiającego i Wykonawcę Protokół  Odbioru Rozwoju Systemu stanowi podstawę do rozliczenia Rozwoju Systemu w Okresie rozliczeniowym, w którym Zmiany lub Zadania zostały odebrane. Załącznikami do Protokołu Odbioru Rozwoju Systemu będą Protokoły Odbioru Zmiany/Zadania podpisane przez Strony w danym Okresie rozliczeniowym. </w:t>
      </w:r>
    </w:p>
    <w:p w14:paraId="184CEA35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>W przypadku stwierdzenia nieprawidłowości, Zamawiający zwraca Wykonawcy Protokół Odbioru Rozwoju Systemu w celu jego uzupełnienia lub poprawienia. Wykonawca usunie nieprawidłowości w terminie 2 Dni roboczych i ponownie przedstawi Protokół Odbioru Rozwoju Systemu do akceptacji Zamawiającego.</w:t>
      </w:r>
    </w:p>
    <w:p w14:paraId="59C1C4C6" w14:textId="77777777" w:rsidR="00D715E5" w:rsidRPr="00672E50" w:rsidRDefault="00D715E5" w:rsidP="00D715E5">
      <w:pPr>
        <w:pStyle w:val="Akapitzlist"/>
        <w:numPr>
          <w:ilvl w:val="2"/>
          <w:numId w:val="3"/>
        </w:numPr>
        <w:ind w:left="851" w:hanging="284"/>
        <w:jc w:val="left"/>
        <w:rPr>
          <w:rFonts w:ascii="Lato" w:eastAsiaTheme="minorEastAsia" w:hAnsi="Lato"/>
          <w:color w:val="auto"/>
          <w:sz w:val="22"/>
          <w:szCs w:val="22"/>
          <w:lang w:eastAsia="en-US"/>
        </w:rPr>
      </w:pPr>
      <w:r w:rsidRPr="00672E50">
        <w:rPr>
          <w:rFonts w:ascii="Lato" w:eastAsiaTheme="minorEastAsia" w:hAnsi="Lato"/>
          <w:color w:val="auto"/>
          <w:sz w:val="22"/>
          <w:szCs w:val="22"/>
          <w:lang w:eastAsia="en-US"/>
        </w:rPr>
        <w:t xml:space="preserve">Zamawiający zastrzega prawo do udziału podmiotów trzecich w procedurze odbioru przedmiotu zamówienia. </w:t>
      </w:r>
      <w:bookmarkEnd w:id="0"/>
      <w:bookmarkEnd w:id="1"/>
      <w:bookmarkEnd w:id="2"/>
      <w:bookmarkEnd w:id="3"/>
      <w:bookmarkEnd w:id="4"/>
    </w:p>
    <w:p w14:paraId="7B50A093" w14:textId="77777777" w:rsidR="007878DB" w:rsidRPr="00672E50" w:rsidRDefault="007878DB">
      <w:pPr>
        <w:rPr>
          <w:rFonts w:ascii="Lato" w:hAnsi="Lato"/>
        </w:rPr>
      </w:pPr>
    </w:p>
    <w:sectPr w:rsidR="007878DB" w:rsidRPr="00672E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03C85" w14:textId="77777777" w:rsidR="004E1F20" w:rsidRDefault="004E1F20" w:rsidP="00D715E5">
      <w:pPr>
        <w:spacing w:after="0" w:line="240" w:lineRule="auto"/>
      </w:pPr>
      <w:r>
        <w:separator/>
      </w:r>
    </w:p>
  </w:endnote>
  <w:endnote w:type="continuationSeparator" w:id="0">
    <w:p w14:paraId="2A40C3E9" w14:textId="77777777" w:rsidR="004E1F20" w:rsidRDefault="004E1F20" w:rsidP="00D71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F73A" w14:textId="77777777" w:rsidR="00BB5F6C" w:rsidRDefault="00BB5F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7218718"/>
      <w:docPartObj>
        <w:docPartGallery w:val="Page Numbers (Bottom of Page)"/>
        <w:docPartUnique/>
      </w:docPartObj>
    </w:sdtPr>
    <w:sdtEndPr/>
    <w:sdtContent>
      <w:p w14:paraId="3E04FDD7" w14:textId="4B7FAD7A" w:rsidR="00BB5F6C" w:rsidRDefault="00BB5F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2414DF" w14:textId="77777777" w:rsidR="00BB5F6C" w:rsidRDefault="00BB5F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F2F08" w14:textId="77777777" w:rsidR="00BB5F6C" w:rsidRDefault="00BB5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46016" w14:textId="77777777" w:rsidR="004E1F20" w:rsidRDefault="004E1F20" w:rsidP="00D715E5">
      <w:pPr>
        <w:spacing w:after="0" w:line="240" w:lineRule="auto"/>
      </w:pPr>
      <w:r>
        <w:separator/>
      </w:r>
    </w:p>
  </w:footnote>
  <w:footnote w:type="continuationSeparator" w:id="0">
    <w:p w14:paraId="094A67C6" w14:textId="77777777" w:rsidR="004E1F20" w:rsidRDefault="004E1F20" w:rsidP="00D71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C536C" w14:textId="77777777" w:rsidR="00BB5F6C" w:rsidRDefault="00BB5F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A379B" w14:textId="58254EDE" w:rsidR="00D715E5" w:rsidRPr="00D715E5" w:rsidRDefault="00D715E5" w:rsidP="00D715E5">
    <w:pPr>
      <w:pStyle w:val="Nagwek"/>
    </w:pPr>
    <w:r>
      <w:rPr>
        <w:noProof/>
        <w:lang w:eastAsia="pl-PL"/>
      </w:rPr>
      <w:drawing>
        <wp:inline distT="0" distB="0" distL="0" distR="0" wp14:anchorId="2A4F911D" wp14:editId="497EBFAE">
          <wp:extent cx="1938655" cy="400050"/>
          <wp:effectExtent l="0" t="0" r="4445" b="0"/>
          <wp:docPr id="5" name="Obraz 5" descr="LOGO CIRF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CD779" w14:textId="77777777" w:rsidR="00BB5F6C" w:rsidRDefault="00BB5F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EBE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abstractNum w:abstractNumId="1" w15:restartNumberingAfterBreak="0">
    <w:nsid w:val="38C81679"/>
    <w:multiLevelType w:val="hybridMultilevel"/>
    <w:tmpl w:val="D452CE46"/>
    <w:lvl w:ilvl="0" w:tplc="0B9EF488">
      <w:start w:val="1"/>
      <w:numFmt w:val="decimal"/>
      <w:lvlText w:val="%1."/>
      <w:lvlJc w:val="left"/>
      <w:pPr>
        <w:ind w:left="502" w:hanging="360"/>
      </w:pPr>
      <w:rPr>
        <w:rFonts w:ascii="Lato" w:hAnsi="Lato" w:cs="Arial" w:hint="default"/>
        <w:b w:val="0"/>
        <w:sz w:val="28"/>
        <w:szCs w:val="28"/>
      </w:rPr>
    </w:lvl>
    <w:lvl w:ilvl="1" w:tplc="04150011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41641DC"/>
    <w:multiLevelType w:val="hybridMultilevel"/>
    <w:tmpl w:val="ED00DDA0"/>
    <w:lvl w:ilvl="0" w:tplc="D422C46A">
      <w:start w:val="1"/>
      <w:numFmt w:val="decimal"/>
      <w:lvlText w:val="%1)"/>
      <w:lvlJc w:val="left"/>
      <w:pPr>
        <w:ind w:left="720" w:hanging="360"/>
      </w:pPr>
      <w:rPr>
        <w:color w:val="auto"/>
        <w:sz w:val="22"/>
      </w:rPr>
    </w:lvl>
    <w:lvl w:ilvl="1" w:tplc="BFA801F0">
      <w:start w:val="2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106A7"/>
    <w:multiLevelType w:val="multilevel"/>
    <w:tmpl w:val="3FCA8324"/>
    <w:lvl w:ilvl="0">
      <w:start w:val="1"/>
      <w:numFmt w:val="decimal"/>
      <w:lvlText w:val="%1)"/>
      <w:lvlJc w:val="left"/>
      <w:pPr>
        <w:ind w:left="1146" w:hanging="7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36" w:hanging="436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decimal"/>
      <w:lvlText w:val="%3)"/>
      <w:lvlJc w:val="right"/>
      <w:pPr>
        <w:ind w:left="157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7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72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72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72" w:hanging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12"/>
    <w:rsid w:val="002C6212"/>
    <w:rsid w:val="004E1F20"/>
    <w:rsid w:val="00672E50"/>
    <w:rsid w:val="0077254F"/>
    <w:rsid w:val="007878DB"/>
    <w:rsid w:val="00BB5F6C"/>
    <w:rsid w:val="00C05B88"/>
    <w:rsid w:val="00D7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8395CA-F81A-40D6-B6CA-4430EFA3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5E5"/>
    <w:pPr>
      <w:spacing w:after="200"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15E5"/>
    <w:pPr>
      <w:keepNext/>
      <w:keepLines/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E5"/>
  </w:style>
  <w:style w:type="paragraph" w:styleId="Stopka">
    <w:name w:val="footer"/>
    <w:basedOn w:val="Normalny"/>
    <w:link w:val="StopkaZnak"/>
    <w:uiPriority w:val="99"/>
    <w:unhideWhenUsed/>
    <w:rsid w:val="00D7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5E5"/>
  </w:style>
  <w:style w:type="character" w:customStyle="1" w:styleId="Nagwek1Znak">
    <w:name w:val="Nagłówek 1 Znak"/>
    <w:basedOn w:val="Domylnaczcionkaakapitu"/>
    <w:link w:val="Nagwek1"/>
    <w:uiPriority w:val="9"/>
    <w:rsid w:val="00D715E5"/>
    <w:rPr>
      <w:rFonts w:ascii="Arial" w:eastAsia="Times New Roman" w:hAnsi="Arial" w:cs="Times New Roman"/>
      <w:b/>
      <w:bCs/>
      <w:color w:val="000000"/>
      <w:sz w:val="36"/>
      <w:szCs w:val="36"/>
      <w:lang w:eastAsia="zh-CN"/>
    </w:rPr>
  </w:style>
  <w:style w:type="character" w:customStyle="1" w:styleId="Nagwek2Znak1">
    <w:name w:val="Nagłówek 2 Znak1"/>
    <w:qFormat/>
    <w:rsid w:val="00D715E5"/>
    <w:rPr>
      <w:b/>
      <w:sz w:val="40"/>
      <w:lang w:val="pl-PL"/>
    </w:rPr>
  </w:style>
  <w:style w:type="paragraph" w:styleId="Akapitzlist">
    <w:name w:val="List Paragraph"/>
    <w:aliases w:val="Numerowanie,L1,Akapit z listą BS,List Paragraph2,List Paragraph,List Paragraph21,Normalny PDST,lp1,Preambuła,HŁ_Bullet1,Akapit normalny,CW_Lista,Dot pt,F5 List Paragraph,Recommendation,BulletC,Wyliczanie,Obiekt,Bullets"/>
    <w:basedOn w:val="Normalny"/>
    <w:uiPriority w:val="34"/>
    <w:qFormat/>
    <w:rsid w:val="00D715E5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1017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OPZ - Procedura odbioru przedmiotu umowy</vt:lpstr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OPZ - Procedura odbioru przedmiotu umowy</dc:title>
  <dc:subject/>
  <dc:creator>Widelski Tomasz</dc:creator>
  <cp:keywords>Załącznik nr 5 do OPZ - Procedura odbioru przedmiotu umowy</cp:keywords>
  <dc:description/>
  <cp:lastModifiedBy>Widelski Tomasz</cp:lastModifiedBy>
  <cp:revision>4</cp:revision>
  <dcterms:created xsi:type="dcterms:W3CDTF">2024-05-31T09:17:00Z</dcterms:created>
  <dcterms:modified xsi:type="dcterms:W3CDTF">2024-05-31T09:53:00Z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UxC4dwLulzfINJ8nQH+xvX5LNGipWa4BRSZhPgxsCvlVVaYa4ZR6RjvHGT+O1BCj+thrCU5OpFBQzmSUkeOM3A==</vt:lpwstr>
  </property>
  <property fmtid="{D5CDD505-2E9C-101B-9397-08002B2CF9AE}" pid="4" name="MFClassificationDate">
    <vt:lpwstr>2024-05-31T11:17:22.5330962+02:00</vt:lpwstr>
  </property>
  <property fmtid="{D5CDD505-2E9C-101B-9397-08002B2CF9AE}" pid="5" name="MFClassifiedBySID">
    <vt:lpwstr>UxC4dwLulzfINJ8nQH+xvX5LNGipWa4BRSZhPgxsCvm42mrIC/DSDv0ggS+FjUN/2v1BBotkLlY5aAiEhoi6uUyNwbhovtitCo4sBUwcwDyp9qBwVVD/CFfO3jEBgPQS</vt:lpwstr>
  </property>
  <property fmtid="{D5CDD505-2E9C-101B-9397-08002B2CF9AE}" pid="6" name="MFGRNItemId">
    <vt:lpwstr>GRN-11668dc2-ef01-499a-a514-9d342a41e9f8</vt:lpwstr>
  </property>
  <property fmtid="{D5CDD505-2E9C-101B-9397-08002B2CF9AE}" pid="7" name="MFHash">
    <vt:lpwstr>A9JnrUJ4QstElnTXVaITN7YXBTrN/uqPRzyndu7jVl4=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