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5FA02" w14:textId="77777777" w:rsidR="00C91FC9" w:rsidRPr="00814213" w:rsidRDefault="00C91FC9" w:rsidP="00C91FC9">
      <w:pPr>
        <w:pStyle w:val="Tytu"/>
        <w:jc w:val="left"/>
      </w:pPr>
      <w:r w:rsidRPr="00814213">
        <w:t>Szczegóły zadań z Załącznika nr 2 do OPZ SEAP</w:t>
      </w:r>
    </w:p>
    <w:p w14:paraId="0904FC04" w14:textId="77777777" w:rsidR="00C91FC9" w:rsidRPr="00814213" w:rsidRDefault="00C91FC9" w:rsidP="00C91FC9">
      <w:pPr>
        <w:pStyle w:val="Nagwek1"/>
      </w:pPr>
      <w:r w:rsidRPr="00814213">
        <w:t>Szczegóły zadania WF-UW-04</w:t>
      </w:r>
    </w:p>
    <w:p w14:paraId="1F44DE67" w14:textId="77777777" w:rsidR="00C91FC9" w:rsidRPr="00814213" w:rsidRDefault="00C91FC9" w:rsidP="00C91FC9">
      <w:r w:rsidRPr="00814213">
        <w:t xml:space="preserve">Dodanie funkcjonalności rozróżniania użytkowników portalu PUESC w zależności od typu rejestracji użytkownika w SZPROT – na podstawie parametru </w:t>
      </w:r>
      <w:proofErr w:type="spellStart"/>
      <w:r w:rsidRPr="00814213">
        <w:t>rejestracjaUpr</w:t>
      </w:r>
      <w:proofErr w:type="spellEnd"/>
      <w:r w:rsidRPr="00814213">
        <w:t xml:space="preserve"> w słowniku PDR 4000V1. Rozróżniane będą dwa typy użytkownika: użytkownik zarejestrowany w sposób pełny oraz użytkownik zarejestrowany w sposób uproszczony. Dla każdego rodzaju użytkownika powinno być możliwe sterowanie dostępnością formularzy na PUESC, definiowanie oddzielnych uprawnień do wysyłki komunikatów oraz tworzenie oddzielnych grup procesowych.</w:t>
      </w:r>
    </w:p>
    <w:p w14:paraId="3014CAB1" w14:textId="77777777" w:rsidR="00C91FC9" w:rsidRPr="00814213" w:rsidRDefault="00C91FC9" w:rsidP="00C91FC9">
      <w:r w:rsidRPr="00814213">
        <w:t>Proponowany sposób realizacji:</w:t>
      </w:r>
    </w:p>
    <w:p w14:paraId="28B0C7C3" w14:textId="77777777" w:rsidR="00C91FC9" w:rsidRPr="00814213" w:rsidRDefault="00C91FC9" w:rsidP="00C91FC9">
      <w:r w:rsidRPr="00814213">
        <w:t xml:space="preserve">Implementacja rozróżniania typu rejestracji użytkownika. W portalu PUESC zostaną zaimplementowane dwie nowe dodatkowe role: "Użytkownik Zewnętrzny rejestracja pełna" oraz "Użytkownik Zewnętrzny rejestracja uproszczona" określające jaki typ rejestracji ma użytkownik. Weryfikacja typu rejestracji w PDR (słownik 4000V1 i atrybut </w:t>
      </w:r>
      <w:proofErr w:type="spellStart"/>
      <w:r w:rsidRPr="00814213">
        <w:t>rejestracjaUpr</w:t>
      </w:r>
      <w:proofErr w:type="spellEnd"/>
      <w:r w:rsidRPr="00814213">
        <w:t>) będzie wykonywana przy każdym logowaniu użytkownika do Portalu PUESC. Dodanie nowych ról pozwoli na niezależne sterowanie widocznością i dostępnością komponentów portalu PUESC w zależności od typu rejestracji użytkownika.</w:t>
      </w:r>
    </w:p>
    <w:p w14:paraId="20EC470E" w14:textId="77777777" w:rsidR="00C91FC9" w:rsidRPr="00814213" w:rsidRDefault="00C91FC9" w:rsidP="00C91FC9">
      <w:r w:rsidRPr="00814213">
        <w:t>Dodanie nowej grupy procesowej „z IDSEAP i z IDSISC – rejestracja uproszczona”. Jeżeli nowa grupa zostanie zdefiniowana system będzie rozróżniał typ użytkownika uproszczony/ pełny (użytkownik pełny będzie konfigurowany w grupie „z IDSEAP i z IDSISC”). Jeżeli nowa grupa procesowa nie zostanie zdefiniowana (brak zmian w konfiguracji), proces dla użytkownika zarejestrowanego w sposób uproszczony oraz pełny będzie realizowany na podstawie konfiguracji grupy „z IDSEAP i z IDSISC”.</w:t>
      </w:r>
    </w:p>
    <w:p w14:paraId="236E94F1" w14:textId="77777777" w:rsidR="00C91FC9" w:rsidRPr="00814213" w:rsidRDefault="00C91FC9" w:rsidP="00C91FC9">
      <w:pPr>
        <w:rPr>
          <w:b/>
          <w:bCs/>
        </w:rPr>
      </w:pPr>
      <w:r w:rsidRPr="00814213">
        <w:t>Dodatkowo w konfiguracji usług (Zarządzanie - usługi) zostanie dodana możliwość wybrania więcej niż jednej roli w polu „Rola”. W związku z możliwością wskazania więcej niż jednej roli zostanie przebudowana logika dostępności usług, wymagane będzie posiadanie wszystkich wskazanych ról w konfiguracji, aby usługa była dostępna.</w:t>
      </w:r>
    </w:p>
    <w:p w14:paraId="6454A582" w14:textId="77777777" w:rsidR="00C91FC9" w:rsidRPr="00814213" w:rsidRDefault="00C91FC9" w:rsidP="00C91FC9">
      <w:pPr>
        <w:pStyle w:val="Nagwek1"/>
      </w:pPr>
      <w:r w:rsidRPr="00814213">
        <w:t>Szczegóły zadania WF-UW-05</w:t>
      </w:r>
    </w:p>
    <w:p w14:paraId="1E5E62C4" w14:textId="77777777" w:rsidR="00C91FC9" w:rsidRPr="00814213" w:rsidRDefault="00C91FC9" w:rsidP="00C91FC9">
      <w:bookmarkStart w:id="0" w:name="_Hlk163650411"/>
      <w:r w:rsidRPr="00814213">
        <w:t xml:space="preserve">Dodanie funkcjonalności pozwalającej na weryfikację zgodności IDSISC osoby wysyłającej wniosek z identyfikatorem IDSISC zawartym w przesyłanym komunikacie (IDSISC z komunikatu będzie wyszukiwany za pomocą wyrażenia </w:t>
      </w:r>
      <w:proofErr w:type="spellStart"/>
      <w:r w:rsidRPr="00814213">
        <w:t>xPath</w:t>
      </w:r>
      <w:proofErr w:type="spellEnd"/>
      <w:r w:rsidRPr="00814213">
        <w:t xml:space="preserve">). Funkcjonalność będzie weryfikowała zgodność IDSISC przy próbie wysyłki z Portalu oraz w procesie BPM. Przy próbie wysyłki komunikatu z Portalu (po wykonaniu akcji </w:t>
      </w:r>
      <w:r w:rsidRPr="00814213">
        <w:lastRenderedPageBreak/>
        <w:t>„Wyślij”), jeżeli zostanie wykryta niezgodność IDSISC użytkownikowi zostanie wyświetlony komunikat o niezgodności identyfikatorów (treść komunikatu zostanie potwierdzona z Zamawiającym na etapie realizacji zmiany). W przypadku wykrycia niezgodności identyfikatorów w procesie BPM, zostanie zwrócone NPP. Funkcjonalność będzie możliwa do włączenia/wyłączenia przez Administratora per schemat.</w:t>
      </w:r>
    </w:p>
    <w:p w14:paraId="25FFBA51" w14:textId="77777777" w:rsidR="00C91FC9" w:rsidRPr="00814213" w:rsidRDefault="00C91FC9" w:rsidP="00C91FC9">
      <w:pPr>
        <w:rPr>
          <w:b/>
          <w:bCs/>
        </w:rPr>
      </w:pPr>
      <w:r w:rsidRPr="00814213">
        <w:rPr>
          <w:b/>
          <w:bCs/>
        </w:rPr>
        <w:t>Proponowany sposób realizacji:</w:t>
      </w:r>
    </w:p>
    <w:p w14:paraId="5E9B8958" w14:textId="77777777" w:rsidR="00C91FC9" w:rsidRPr="00814213" w:rsidRDefault="00C91FC9" w:rsidP="00C91FC9">
      <w:r w:rsidRPr="00814213">
        <w:t>Realizacja weryfikacji zgodności identyfikatora IDSISC osoby wysyłającej z identyfikatorem IDSISC zawartym w przesyłanym komunikacie, poprzez:</w:t>
      </w:r>
    </w:p>
    <w:p w14:paraId="0FF0DF98" w14:textId="77777777" w:rsidR="00C91FC9" w:rsidRPr="00814213" w:rsidRDefault="00C91FC9" w:rsidP="00C91FC9">
      <w:pPr>
        <w:pStyle w:val="Akapitzlist"/>
        <w:numPr>
          <w:ilvl w:val="0"/>
          <w:numId w:val="1"/>
        </w:numPr>
      </w:pPr>
      <w:r w:rsidRPr="00814213">
        <w:t xml:space="preserve">Dodanie dedykowanego mechanizmu </w:t>
      </w:r>
      <w:proofErr w:type="spellStart"/>
      <w:r w:rsidRPr="00814213">
        <w:t>parsowania</w:t>
      </w:r>
      <w:proofErr w:type="spellEnd"/>
      <w:r w:rsidRPr="00814213">
        <w:t xml:space="preserve"> dokumentu przed wysyłką z Portalu (po wykonaniu akcji „Wyślij”) weryfikującego zgodność IDSISC osoby wysyłającej z IDSISC zawartym w komunikacie wraz z dodaniem dedykowanego komunikatu wyświetlanego użytkownikowi na Portalu w przypadku niezgodności IDSISC</w:t>
      </w:r>
    </w:p>
    <w:p w14:paraId="26BE8FE7" w14:textId="77777777" w:rsidR="00C91FC9" w:rsidRPr="00814213" w:rsidRDefault="00C91FC9" w:rsidP="00C91FC9">
      <w:pPr>
        <w:pStyle w:val="Akapitzlist"/>
        <w:numPr>
          <w:ilvl w:val="0"/>
          <w:numId w:val="1"/>
        </w:numPr>
      </w:pPr>
      <w:r w:rsidRPr="00814213">
        <w:t xml:space="preserve">Dodanie weryfikacji zgodności IDSISC w procesie BPM </w:t>
      </w:r>
    </w:p>
    <w:p w14:paraId="77A367E8" w14:textId="77777777" w:rsidR="00C91FC9" w:rsidRPr="00814213" w:rsidRDefault="00C91FC9" w:rsidP="00C91FC9">
      <w:r w:rsidRPr="00814213">
        <w:t>Na potrzeby poprawnej obsługi weryfikacji zgodności IDSISC zostanie dodana nowa bramka „</w:t>
      </w:r>
      <w:proofErr w:type="spellStart"/>
      <w:r w:rsidRPr="00814213">
        <w:t>Czy_wer_zgodnosci_IDSISCROF</w:t>
      </w:r>
      <w:proofErr w:type="spellEnd"/>
      <w:r w:rsidRPr="00814213">
        <w:t xml:space="preserve">”. Bramka będzie weryfikowała zgodność IDSISC-ów pobranych z komunikatu za pomocą </w:t>
      </w:r>
      <w:proofErr w:type="spellStart"/>
      <w:r w:rsidRPr="00814213">
        <w:t>xPath</w:t>
      </w:r>
      <w:proofErr w:type="spellEnd"/>
      <w:r w:rsidRPr="00814213">
        <w:t xml:space="preserve"> (atrybut IDSISCROF z konfiguracji schematu) oraz IDSISC osoby wysyłającej komunikat.</w:t>
      </w:r>
    </w:p>
    <w:p w14:paraId="52D62B10" w14:textId="77777777" w:rsidR="00C91FC9" w:rsidRPr="00814213" w:rsidRDefault="00C91FC9" w:rsidP="00C91FC9">
      <w:pPr>
        <w:pStyle w:val="Nagwek1"/>
      </w:pPr>
      <w:r w:rsidRPr="00814213">
        <w:t>Szczegóły zadania WF-PO-17</w:t>
      </w:r>
    </w:p>
    <w:p w14:paraId="7D3EE158" w14:textId="77777777" w:rsidR="00C91FC9" w:rsidRPr="00814213" w:rsidRDefault="00C91FC9" w:rsidP="00C91FC9">
      <w:r w:rsidRPr="00814213">
        <w:t>Zmiany w obsłudze usuwania konta na PUESC i dezaktywacji osoby fizycznej:</w:t>
      </w:r>
    </w:p>
    <w:p w14:paraId="7057F9AE" w14:textId="77777777" w:rsidR="00C91FC9" w:rsidRPr="00814213" w:rsidRDefault="00C91FC9" w:rsidP="00C91FC9">
      <w:pPr>
        <w:pStyle w:val="Akapitzlist"/>
        <w:numPr>
          <w:ilvl w:val="0"/>
          <w:numId w:val="1"/>
        </w:numPr>
      </w:pPr>
      <w:r w:rsidRPr="00814213">
        <w:t>W sekcji Moje Dane należy umieścić przycisk USUŃ KONTO.</w:t>
      </w:r>
    </w:p>
    <w:p w14:paraId="7A128D35" w14:textId="77777777" w:rsidR="00C91FC9" w:rsidRPr="00814213" w:rsidRDefault="00C91FC9" w:rsidP="00C91FC9">
      <w:pPr>
        <w:pStyle w:val="Akapitzlist"/>
        <w:numPr>
          <w:ilvl w:val="0"/>
          <w:numId w:val="1"/>
        </w:numPr>
      </w:pPr>
      <w:r w:rsidRPr="00814213">
        <w:t>Wybranie przycisku (USUŃ KONTO) spowoduje wyświetlenie formularza WRR0003 (ze wszystkimi jego konsekwencjami).</w:t>
      </w:r>
    </w:p>
    <w:p w14:paraId="34C013FB" w14:textId="77777777" w:rsidR="00C91FC9" w:rsidRPr="00814213" w:rsidRDefault="00C91FC9" w:rsidP="00C91FC9">
      <w:pPr>
        <w:pStyle w:val="Akapitzlist"/>
        <w:numPr>
          <w:ilvl w:val="0"/>
          <w:numId w:val="1"/>
        </w:numPr>
      </w:pPr>
      <w:r w:rsidRPr="00814213">
        <w:t>Po wysłaniu wniosku o dezaktywację WRR0003 zostanie on automatycznie obsłużony w SZPROT (tak jak jest obecnie).</w:t>
      </w:r>
    </w:p>
    <w:p w14:paraId="47CB430C" w14:textId="77777777" w:rsidR="00C91FC9" w:rsidRPr="00814213" w:rsidRDefault="00C91FC9" w:rsidP="00C91FC9">
      <w:pPr>
        <w:pStyle w:val="Akapitzlist"/>
        <w:numPr>
          <w:ilvl w:val="0"/>
          <w:numId w:val="1"/>
        </w:numPr>
      </w:pPr>
      <w:r w:rsidRPr="00814213">
        <w:t>Po odebraniu przez SEAP komunikatu potwierdzającego dezaktywację, na adres e-mail przekazany przez system Szprot w kopercie lub w przypadku braku na podany w danych użytkownika zostanie wysłana informacja o usunięciu konta.</w:t>
      </w:r>
    </w:p>
    <w:p w14:paraId="5BD80C68" w14:textId="77777777" w:rsidR="00C91FC9" w:rsidRPr="00814213" w:rsidRDefault="00C91FC9" w:rsidP="00C91FC9">
      <w:pPr>
        <w:rPr>
          <w:b/>
          <w:bCs/>
        </w:rPr>
      </w:pPr>
      <w:r w:rsidRPr="00814213">
        <w:rPr>
          <w:b/>
          <w:bCs/>
        </w:rPr>
        <w:t>Proponowany sposób realizacji:</w:t>
      </w:r>
    </w:p>
    <w:p w14:paraId="0A60E4F3" w14:textId="77777777" w:rsidR="00C91FC9" w:rsidRPr="00814213" w:rsidRDefault="00C91FC9" w:rsidP="00C91FC9">
      <w:r w:rsidRPr="00814213">
        <w:t xml:space="preserve">Implementacja następującego procesu usuwania konta użytkownika: </w:t>
      </w:r>
    </w:p>
    <w:p w14:paraId="423BF8B9" w14:textId="77777777" w:rsidR="00C91FC9" w:rsidRPr="00814213" w:rsidRDefault="00C91FC9" w:rsidP="00C91FC9">
      <w:r w:rsidRPr="00814213">
        <w:t>Dodanie w sekcji „Moje dane” przycisku [Usuń konto] – lokalizacja przycisku zostanie potwierdzona z Zamawiającym na etapie realizacji zmiany. Przycisk będzie widoczny tylko dla użytkowników posiadających przypisany IDSISC do konta PUESC.</w:t>
      </w:r>
    </w:p>
    <w:p w14:paraId="11C19EC3" w14:textId="77777777" w:rsidR="00C91FC9" w:rsidRPr="00814213" w:rsidRDefault="00C91FC9" w:rsidP="00C91FC9">
      <w:r w:rsidRPr="00814213">
        <w:lastRenderedPageBreak/>
        <w:t xml:space="preserve">Wybranie przycisku przez użytkownika będzie otwierało formularz WRR003. Formularz zostanie połączony z </w:t>
      </w:r>
      <w:proofErr w:type="spellStart"/>
      <w:r w:rsidRPr="00814213">
        <w:t>wizardem</w:t>
      </w:r>
      <w:proofErr w:type="spellEnd"/>
      <w:r w:rsidRPr="00814213">
        <w:t xml:space="preserve"> operacji. Użytkownik po uzupełnieniu formularza (po ostatnim kroku „Utwórz dokument”, będzie miał automatycznie uruchamiany </w:t>
      </w:r>
      <w:proofErr w:type="spellStart"/>
      <w:r w:rsidRPr="00814213">
        <w:t>wizard</w:t>
      </w:r>
      <w:proofErr w:type="spellEnd"/>
      <w:r w:rsidRPr="00814213">
        <w:t xml:space="preserve"> operacji.</w:t>
      </w:r>
    </w:p>
    <w:p w14:paraId="4BF4523E" w14:textId="77777777" w:rsidR="00C91FC9" w:rsidRPr="00814213" w:rsidRDefault="00C91FC9" w:rsidP="00C91FC9">
      <w:r w:rsidRPr="00814213">
        <w:t xml:space="preserve">Na poprawnej obsługi wysyłki WRR003 zostanie dodany nowy </w:t>
      </w:r>
      <w:proofErr w:type="spellStart"/>
      <w:r w:rsidRPr="00814213">
        <w:t>wizard</w:t>
      </w:r>
      <w:proofErr w:type="spellEnd"/>
      <w:r w:rsidRPr="00814213">
        <w:t xml:space="preserve"> operacji zawierający następujące kroki: Weryfikacja wniosku, Podpis (opcje podpisu zgodnie z konfiguracją schematu), Wysyłka (na kroku wysyłki zostanie dodany dodatkowy opis z informacją o przesłaniu informacji o usunięciu konta na adres e-mail po poprawnej dezaktywacji konta – treść komunikatu zostanie potwierdzona z Zamawiającym na etapie realizacji zmiany).</w:t>
      </w:r>
    </w:p>
    <w:p w14:paraId="7703DF39" w14:textId="77777777" w:rsidR="00C91FC9" w:rsidRPr="00814213" w:rsidRDefault="00C91FC9" w:rsidP="00C91FC9">
      <w:r w:rsidRPr="00814213">
        <w:t>Automatyczna obsługa wniosku w SZPROT.</w:t>
      </w:r>
    </w:p>
    <w:p w14:paraId="6A979194" w14:textId="77777777" w:rsidR="00C91FC9" w:rsidRPr="00814213" w:rsidRDefault="00C91FC9" w:rsidP="00C91FC9">
      <w:r w:rsidRPr="00814213">
        <w:t>Odebranie przez SEAP komunikatu potwierdzającego dezaktywację konta.</w:t>
      </w:r>
    </w:p>
    <w:p w14:paraId="53B8CEFB" w14:textId="77777777" w:rsidR="00C91FC9" w:rsidRPr="00814213" w:rsidRDefault="00C91FC9" w:rsidP="00C91FC9">
      <w:r w:rsidRPr="00814213">
        <w:t>Wysyłka potwierdzenia o usunięciu konta i dezaktywacji IDSISC na adres e-mail użytkownika.</w:t>
      </w:r>
    </w:p>
    <w:p w14:paraId="73E94274" w14:textId="77777777" w:rsidR="00C91FC9" w:rsidRPr="00814213" w:rsidRDefault="00C91FC9" w:rsidP="00C91FC9">
      <w:r w:rsidRPr="00814213">
        <w:t>Dezaktywacja konta po stronie PUESC obejmująca:</w:t>
      </w:r>
    </w:p>
    <w:p w14:paraId="56A76316" w14:textId="77777777" w:rsidR="00C91FC9" w:rsidRPr="00814213" w:rsidRDefault="00C91FC9" w:rsidP="00C91FC9">
      <w:pPr>
        <w:pStyle w:val="Akapitzlist"/>
        <w:numPr>
          <w:ilvl w:val="0"/>
          <w:numId w:val="3"/>
        </w:numPr>
      </w:pPr>
      <w:r w:rsidRPr="00814213">
        <w:t>Dezaktywację konta PUESC (ustawienie statusu konta = nieaktywne) wraz z odpięciem IDSISC, PESEL, Numer Identyfikacyjny, Rodzaj i numer dokumentu.</w:t>
      </w:r>
    </w:p>
    <w:p w14:paraId="6E912213" w14:textId="77777777" w:rsidR="00C91FC9" w:rsidRPr="00814213" w:rsidRDefault="00C91FC9" w:rsidP="00C91FC9">
      <w:pPr>
        <w:pStyle w:val="Akapitzlist"/>
        <w:numPr>
          <w:ilvl w:val="0"/>
          <w:numId w:val="3"/>
        </w:numPr>
      </w:pPr>
      <w:r w:rsidRPr="00814213">
        <w:t>Zmiana loginu użytkownika – dodanie przedrostka „dezaktywowany_” do adresu e-mail.</w:t>
      </w:r>
    </w:p>
    <w:p w14:paraId="50D51FFF" w14:textId="77777777" w:rsidR="00C91FC9" w:rsidRPr="00814213" w:rsidRDefault="00C91FC9" w:rsidP="00C91FC9">
      <w:r w:rsidRPr="00814213">
        <w:t>Dodanie mechanizmu dezaktywowania kont użytkowników, którym odmówiono rejestracji w SZPROT. Mechanizm będzie aktywowany w momencie odebrania od Szprota komunikatu według schematu Błąd w przypadku, gdy użytkownik nie ma na koncie identyfikatora IDSISC. Użytkownicy, których wniosek o rejestrację w SISC został odrzucony oraz otrzymali odmowę rejestracji, będą dezaktywowani na PUESC analogicznie jak użytkownicy wysyłający wniosek WRR003, poprzez:</w:t>
      </w:r>
    </w:p>
    <w:p w14:paraId="1B396576" w14:textId="77777777" w:rsidR="00C91FC9" w:rsidRPr="00814213" w:rsidRDefault="00C91FC9" w:rsidP="00C91FC9">
      <w:pPr>
        <w:pStyle w:val="Akapitzlist"/>
        <w:numPr>
          <w:ilvl w:val="0"/>
          <w:numId w:val="2"/>
        </w:numPr>
      </w:pPr>
      <w:r w:rsidRPr="00814213">
        <w:t>Dezaktywację konta PUESC (ustawienie statusu konta = nieaktywne) wraz z odpięciem: PESEL, Numer Identyfikacyjny, Rodzaj i numer dokumentu.</w:t>
      </w:r>
    </w:p>
    <w:p w14:paraId="03F621F5" w14:textId="77777777" w:rsidR="00C91FC9" w:rsidRPr="00814213" w:rsidRDefault="00C91FC9" w:rsidP="00C91FC9">
      <w:pPr>
        <w:pStyle w:val="Akapitzlist"/>
        <w:numPr>
          <w:ilvl w:val="0"/>
          <w:numId w:val="2"/>
        </w:numPr>
      </w:pPr>
      <w:r w:rsidRPr="00814213">
        <w:t>Przesłanie wiadomości email informującej o usunięciu konta.</w:t>
      </w:r>
    </w:p>
    <w:p w14:paraId="14816F6D" w14:textId="77777777" w:rsidR="00C91FC9" w:rsidRPr="00814213" w:rsidRDefault="00C91FC9" w:rsidP="00C91FC9">
      <w:pPr>
        <w:pStyle w:val="Akapitzlist"/>
        <w:numPr>
          <w:ilvl w:val="0"/>
          <w:numId w:val="2"/>
        </w:numPr>
      </w:pPr>
      <w:r w:rsidRPr="00814213">
        <w:t>Zmiana loginu użytkownika – dodanie przedrostka „dezaktywowany_” do adresu e-mail.</w:t>
      </w:r>
    </w:p>
    <w:p w14:paraId="449C5DA6" w14:textId="77777777" w:rsidR="00C91FC9" w:rsidRPr="00814213" w:rsidRDefault="00C91FC9" w:rsidP="00C91FC9">
      <w:pPr>
        <w:pStyle w:val="Nagwek1"/>
      </w:pPr>
      <w:r w:rsidRPr="00814213">
        <w:t>Szczegóły zadania WF-PO-05</w:t>
      </w:r>
    </w:p>
    <w:p w14:paraId="3DC173DC" w14:textId="77777777" w:rsidR="00C91FC9" w:rsidRPr="00814213" w:rsidRDefault="00C91FC9" w:rsidP="00C91FC9">
      <w:r w:rsidRPr="00814213">
        <w:t xml:space="preserve">Implementacja wyświetlania załączników dołączanych w kopercie (nie w </w:t>
      </w:r>
      <w:proofErr w:type="spellStart"/>
      <w:r w:rsidRPr="00814213">
        <w:t>xml</w:t>
      </w:r>
      <w:proofErr w:type="spellEnd"/>
      <w:r w:rsidRPr="00814213">
        <w:t xml:space="preserve"> dokumentu) będących w formacie PDF, zapisywanych w CRKID jako osobne obiekty.</w:t>
      </w:r>
    </w:p>
    <w:p w14:paraId="41868E7F" w14:textId="77777777" w:rsidR="00C91FC9" w:rsidRPr="00814213" w:rsidRDefault="00C91FC9" w:rsidP="00C91FC9">
      <w:r w:rsidRPr="00814213">
        <w:lastRenderedPageBreak/>
        <w:t xml:space="preserve">W systemie funkcjonują dwa typy załączników: załączniki zamieszczane wewnątrz dokumentu </w:t>
      </w:r>
      <w:proofErr w:type="spellStart"/>
      <w:r w:rsidRPr="00814213">
        <w:t>xml</w:t>
      </w:r>
      <w:proofErr w:type="spellEnd"/>
      <w:r w:rsidRPr="00814213">
        <w:t xml:space="preserve"> oraz załączniki zapisywane osobno w CRKID wiązane relacją z dokumentem.</w:t>
      </w:r>
    </w:p>
    <w:p w14:paraId="6215743A" w14:textId="77777777" w:rsidR="00C91FC9" w:rsidRPr="00814213" w:rsidRDefault="00C91FC9" w:rsidP="00C91FC9">
      <w:r w:rsidRPr="00814213">
        <w:t>Na potrzebę jednolitej prezentacji obu typu załączników w oknie podglądu dokumentu, zostaną wprowadzone następujące zmiany:</w:t>
      </w:r>
    </w:p>
    <w:p w14:paraId="6C18C9F5" w14:textId="77777777" w:rsidR="00C91FC9" w:rsidRPr="00814213" w:rsidRDefault="00C91FC9" w:rsidP="00C91FC9">
      <w:pPr>
        <w:pStyle w:val="Akapitzlist"/>
        <w:numPr>
          <w:ilvl w:val="0"/>
          <w:numId w:val="4"/>
        </w:numPr>
      </w:pPr>
      <w:r w:rsidRPr="00814213">
        <w:t xml:space="preserve">W widoku zarządzania schematami zostanie dodana nowa flaga (zgodnie z projektem przedstawionym na Rysunku 1.) pozwalająca na określenie, który ma być prezentowany użytkownikowi jako główny – jaki ma być wyświetlony użytkownikowi po kliknięciu w przycisk [Podgląd dokumentu] na pierwszej domyślnej zakładce „Podgląd dokumentu”. Flaga zostanie zrealizowana w formie </w:t>
      </w:r>
      <w:proofErr w:type="spellStart"/>
      <w:r w:rsidRPr="00814213">
        <w:t>radiobuttona</w:t>
      </w:r>
      <w:proofErr w:type="spellEnd"/>
      <w:r w:rsidRPr="00814213">
        <w:t xml:space="preserve"> z trzema opcjami wyboru: </w:t>
      </w:r>
    </w:p>
    <w:p w14:paraId="0E08A3A2" w14:textId="77777777" w:rsidR="00C91FC9" w:rsidRPr="00814213" w:rsidRDefault="00C91FC9" w:rsidP="00C91FC9">
      <w:pPr>
        <w:pStyle w:val="Akapitzlist"/>
        <w:numPr>
          <w:ilvl w:val="1"/>
          <w:numId w:val="5"/>
        </w:numPr>
      </w:pPr>
      <w:r w:rsidRPr="00814213">
        <w:rPr>
          <w:b/>
          <w:bCs/>
        </w:rPr>
        <w:t xml:space="preserve">Wyświetl pierwszy załącznik pdf z </w:t>
      </w:r>
      <w:proofErr w:type="spellStart"/>
      <w:r w:rsidRPr="00814213">
        <w:rPr>
          <w:b/>
          <w:bCs/>
        </w:rPr>
        <w:t>xm</w:t>
      </w:r>
      <w:r w:rsidRPr="00814213">
        <w:t>l</w:t>
      </w:r>
      <w:proofErr w:type="spellEnd"/>
      <w:r w:rsidRPr="00814213">
        <w:t xml:space="preserve"> – wybranie flagi będzie powodowało wyświetleniem w widoku „podgląd dokumentu” na pierwszej zakładce PDF będącego załącznikiem zapisanym wewnątrz dokumentu </w:t>
      </w:r>
      <w:proofErr w:type="spellStart"/>
      <w:r w:rsidRPr="00814213">
        <w:t>xml</w:t>
      </w:r>
      <w:proofErr w:type="spellEnd"/>
      <w:r w:rsidRPr="00814213">
        <w:t xml:space="preserve">. Wyświetlany będzie pierwszy PDF w strukturze </w:t>
      </w:r>
      <w:proofErr w:type="spellStart"/>
      <w:r w:rsidRPr="00814213">
        <w:t>xml</w:t>
      </w:r>
      <w:proofErr w:type="spellEnd"/>
      <w:r w:rsidRPr="00814213">
        <w:t>.</w:t>
      </w:r>
    </w:p>
    <w:p w14:paraId="7C7A396B" w14:textId="77777777" w:rsidR="00C91FC9" w:rsidRPr="00814213" w:rsidRDefault="00C91FC9" w:rsidP="00C91FC9">
      <w:pPr>
        <w:pStyle w:val="Akapitzlist"/>
        <w:numPr>
          <w:ilvl w:val="1"/>
          <w:numId w:val="5"/>
        </w:numPr>
      </w:pPr>
      <w:r w:rsidRPr="00814213">
        <w:rPr>
          <w:b/>
          <w:bCs/>
        </w:rPr>
        <w:t>Wyświetl pierwszy załącznik pdf z powiązanych</w:t>
      </w:r>
      <w:r w:rsidRPr="00814213">
        <w:t xml:space="preserve"> - wybranie flagi będzie powodowało wyświetleniem w widoku „podgląd dokumentu” na pierwszej zakładce dokumentu PDF będącego załącznikiem zapisanym w CRKID powiązanym relacją typu A z wyświetlanym przez użytkownika dokumentem. W przypadku wystąpienia więcej niż jednego załącznika wyświetlany będzie najstarszy (bazując na dacie zapisania załącznika w CRKID).</w:t>
      </w:r>
    </w:p>
    <w:p w14:paraId="77F9A738" w14:textId="77777777" w:rsidR="00C91FC9" w:rsidRPr="00814213" w:rsidRDefault="00C91FC9" w:rsidP="00C91FC9">
      <w:pPr>
        <w:pStyle w:val="Akapitzlist"/>
        <w:numPr>
          <w:ilvl w:val="1"/>
          <w:numId w:val="5"/>
        </w:numPr>
      </w:pPr>
      <w:r w:rsidRPr="00814213">
        <w:rPr>
          <w:b/>
          <w:bCs/>
        </w:rPr>
        <w:t>Ukryj zakładkę „Podgląd dokumentu”</w:t>
      </w:r>
      <w:r w:rsidRPr="00814213">
        <w:t xml:space="preserve"> – opcja pozwala na ukrycie pierwszej zakładki oraz prezentowanie wszystkich istniejących załączników w zakładce „Załączniki”. Dla tej opcji domyślną zakładką będzie zakładka „Podgląd HTML” prezentująca widok transformaty </w:t>
      </w:r>
      <w:proofErr w:type="spellStart"/>
      <w:r w:rsidRPr="00814213">
        <w:t>xslt</w:t>
      </w:r>
      <w:proofErr w:type="spellEnd"/>
      <w:r w:rsidRPr="00814213">
        <w:t>. Opcja będzie domyślnie zaznaczona dla dotychczasowych schematów.</w:t>
      </w:r>
    </w:p>
    <w:p w14:paraId="3F90F82B" w14:textId="77777777" w:rsidR="00C91FC9" w:rsidRPr="00814213" w:rsidRDefault="00C91FC9" w:rsidP="00C91FC9">
      <w:pPr>
        <w:ind w:left="1080"/>
      </w:pPr>
      <w:r w:rsidRPr="00814213">
        <w:t>Założenia dodatkowe:</w:t>
      </w:r>
    </w:p>
    <w:p w14:paraId="378D67F5" w14:textId="77777777" w:rsidR="00C91FC9" w:rsidRPr="00814213" w:rsidRDefault="00C91FC9" w:rsidP="00C91FC9">
      <w:pPr>
        <w:ind w:left="1080"/>
      </w:pPr>
      <w:r w:rsidRPr="00814213">
        <w:t>W ramach zmiany nie będzie wprowadzona dodatkowa logika pozwalająca na wskazanie konkretnego PDF do wyświetlania w przypadku występowania wielu załączników, w obydwu powyższych przypadkach zawsze będzie wyświetlany pierwszy znaleziony.</w:t>
      </w:r>
    </w:p>
    <w:p w14:paraId="46D9EFC8" w14:textId="77777777" w:rsidR="00C91FC9" w:rsidRPr="00814213" w:rsidRDefault="00C91FC9" w:rsidP="00C91FC9">
      <w:pPr>
        <w:ind w:left="1080"/>
      </w:pPr>
      <w:r w:rsidRPr="00814213">
        <w:t>Jeżeli nie zostanie znaleziony załącznik do wyświetlenia dla opcji 1) lub 2) zakładka „Podgląd dokumentu” nie będzie wyświetlana i zostanie domyślnie wyświetlony widok „Podgląd HTML”.</w:t>
      </w:r>
    </w:p>
    <w:p w14:paraId="31D093F7" w14:textId="77777777" w:rsidR="00C91FC9" w:rsidRPr="00814213" w:rsidRDefault="00C91FC9" w:rsidP="00C91FC9">
      <w:pPr>
        <w:pStyle w:val="Akapitzlist"/>
        <w:numPr>
          <w:ilvl w:val="0"/>
          <w:numId w:val="4"/>
        </w:numPr>
      </w:pPr>
      <w:r w:rsidRPr="00814213">
        <w:t xml:space="preserve">Modyfikacja zachowania zakładki „Podgląd załączników”. Po zmianie zakładka będzie wyświetlała wszystkie załączniki PDF zapisane wewnątrz dokumentu </w:t>
      </w:r>
      <w:proofErr w:type="spellStart"/>
      <w:r w:rsidRPr="00814213">
        <w:t>xml</w:t>
      </w:r>
      <w:proofErr w:type="spellEnd"/>
      <w:r w:rsidRPr="00814213">
        <w:t xml:space="preserve"> oraz zapisywane osobno w CRKID wiązane relacją z dokumentem w formie listy załączników (Rysunek 2.) z poziomu, której </w:t>
      </w:r>
      <w:r w:rsidRPr="00814213">
        <w:lastRenderedPageBreak/>
        <w:t>użytkownik będzie mógł wybrać załącznik do wyświetlenia. Na zakładce nie będzie prezentowany załącznik wyświetlany na zakładce „Podgląd dokumentu” – w celu uniknięcia podwójnej prezentacji tego samego załącznika.</w:t>
      </w:r>
    </w:p>
    <w:p w14:paraId="29C92913" w14:textId="77777777" w:rsidR="00C91FC9" w:rsidRPr="00814213" w:rsidRDefault="00C91FC9" w:rsidP="00C91FC9">
      <w:pPr>
        <w:pStyle w:val="Akapitzlist"/>
        <w:numPr>
          <w:ilvl w:val="0"/>
          <w:numId w:val="4"/>
        </w:numPr>
      </w:pPr>
      <w:r w:rsidRPr="00814213">
        <w:t xml:space="preserve">Zostanie dodana nowa zakładka „Podgląd HTML” realizująca obecną funkcjonalność transformaty </w:t>
      </w:r>
      <w:proofErr w:type="spellStart"/>
      <w:r w:rsidRPr="00814213">
        <w:t>xslt</w:t>
      </w:r>
      <w:proofErr w:type="spellEnd"/>
      <w:r w:rsidRPr="00814213">
        <w:t>.</w:t>
      </w:r>
    </w:p>
    <w:p w14:paraId="2539762D" w14:textId="77777777" w:rsidR="00C91FC9" w:rsidRPr="00814213" w:rsidRDefault="00C91FC9" w:rsidP="00C91FC9">
      <w:pPr>
        <w:pStyle w:val="Akapitzlist"/>
        <w:numPr>
          <w:ilvl w:val="0"/>
          <w:numId w:val="4"/>
        </w:numPr>
      </w:pPr>
      <w:r w:rsidRPr="00814213">
        <w:t>Zakładka „Podgląd XML” nie ulegnie zmianie.</w:t>
      </w:r>
    </w:p>
    <w:p w14:paraId="28775FA3" w14:textId="77777777" w:rsidR="00C91FC9" w:rsidRPr="00814213" w:rsidRDefault="00C91FC9" w:rsidP="00C91FC9">
      <w:pPr>
        <w:pStyle w:val="Akapitzlist"/>
        <w:numPr>
          <w:ilvl w:val="0"/>
          <w:numId w:val="4"/>
        </w:numPr>
      </w:pPr>
      <w:r w:rsidRPr="00814213">
        <w:t xml:space="preserve">Zakładka „Podgląd HTML” będzie prezentowana zawsze, gdy dla schematu zainstalowana jest transformata </w:t>
      </w:r>
      <w:proofErr w:type="spellStart"/>
      <w:r w:rsidRPr="00814213">
        <w:t>xslt</w:t>
      </w:r>
      <w:proofErr w:type="spellEnd"/>
      <w:r w:rsidRPr="00814213">
        <w:t>.</w:t>
      </w:r>
    </w:p>
    <w:p w14:paraId="069CA80A" w14:textId="77777777" w:rsidR="00C91FC9" w:rsidRPr="00814213" w:rsidRDefault="00C91FC9" w:rsidP="00C91FC9"/>
    <w:p w14:paraId="42E74779" w14:textId="77777777" w:rsidR="00C91FC9" w:rsidRPr="00814213" w:rsidRDefault="00C91FC9" w:rsidP="00C91FC9">
      <w:pPr>
        <w:pStyle w:val="Legenda"/>
        <w:keepNext/>
      </w:pPr>
      <w:r w:rsidRPr="00814213">
        <w:t>Rysunek 1.</w:t>
      </w:r>
    </w:p>
    <w:p w14:paraId="3DADBD81" w14:textId="77777777" w:rsidR="00C91FC9" w:rsidRPr="00814213" w:rsidRDefault="00C91FC9" w:rsidP="00C91FC9">
      <w:r w:rsidRPr="00814213">
        <w:rPr>
          <w:noProof/>
        </w:rPr>
        <mc:AlternateContent>
          <mc:Choice Requires="wps">
            <w:drawing>
              <wp:anchor distT="0" distB="0" distL="114300" distR="114300" simplePos="0" relativeHeight="251659264" behindDoc="0" locked="0" layoutInCell="1" allowOverlap="1" wp14:anchorId="632DD477" wp14:editId="703CBAB6">
                <wp:simplePos x="0" y="0"/>
                <wp:positionH relativeFrom="margin">
                  <wp:align>left</wp:align>
                </wp:positionH>
                <wp:positionV relativeFrom="paragraph">
                  <wp:posOffset>97155</wp:posOffset>
                </wp:positionV>
                <wp:extent cx="5711588" cy="1152525"/>
                <wp:effectExtent l="0" t="0" r="22860" b="28575"/>
                <wp:wrapNone/>
                <wp:docPr id="1" name="Prostokąt 1"/>
                <wp:cNvGraphicFramePr/>
                <a:graphic xmlns:a="http://schemas.openxmlformats.org/drawingml/2006/main">
                  <a:graphicData uri="http://schemas.microsoft.com/office/word/2010/wordprocessingShape">
                    <wps:wsp>
                      <wps:cNvSpPr/>
                      <wps:spPr>
                        <a:xfrm>
                          <a:off x="0" y="0"/>
                          <a:ext cx="5711588" cy="1152525"/>
                        </a:xfrm>
                        <a:prstGeom prst="rect">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074698" w14:textId="77777777" w:rsidR="00C91FC9" w:rsidRPr="00FD705F" w:rsidRDefault="00C91FC9" w:rsidP="00C91FC9">
                            <w:pPr>
                              <w:rPr>
                                <w:i/>
                                <w:color w:val="000000" w:themeColor="text1"/>
                                <w:sz w:val="14"/>
                                <w:szCs w:val="14"/>
                              </w:rPr>
                            </w:pPr>
                            <w:r w:rsidRPr="00FD705F">
                              <w:rPr>
                                <w:i/>
                                <w:color w:val="000000" w:themeColor="text1"/>
                                <w:sz w:val="14"/>
                                <w:szCs w:val="14"/>
                              </w:rPr>
                              <w:t>OBSŁUGA ZAŁĄCZNIKÓW W „PODGLĄD</w:t>
                            </w:r>
                            <w:r w:rsidRPr="00FD705F">
                              <w:rPr>
                                <w:i/>
                                <w:color w:val="000000" w:themeColor="text1"/>
                                <w:sz w:val="14"/>
                                <w:szCs w:val="14"/>
                              </w:rPr>
                              <w:tab/>
                              <w:t xml:space="preserve"> </w:t>
                            </w:r>
                            <w:r>
                              <w:rPr>
                                <w:i/>
                                <w:color w:val="000000" w:themeColor="text1"/>
                                <w:sz w:val="14"/>
                                <w:szCs w:val="14"/>
                              </w:rPr>
                              <w:t xml:space="preserve">                           </w:t>
                            </w:r>
                            <w:r w:rsidRPr="00FD705F">
                              <w:rPr>
                                <w:i/>
                                <w:color w:val="000000" w:themeColor="text1"/>
                                <w:sz w:val="14"/>
                                <w:szCs w:val="14"/>
                              </w:rPr>
                              <w:t xml:space="preserve">    </w:t>
                            </w:r>
                            <w:r w:rsidRPr="00FD705F">
                              <w:rPr>
                                <w:rFonts w:ascii="Calibri" w:hAnsi="Calibri" w:cs="Calibri"/>
                                <w:i/>
                                <w:color w:val="000000" w:themeColor="text1"/>
                                <w:sz w:val="14"/>
                                <w:szCs w:val="14"/>
                              </w:rPr>
                              <w:t xml:space="preserve">□ </w:t>
                            </w:r>
                            <w:r w:rsidRPr="00FD705F">
                              <w:rPr>
                                <w:i/>
                                <w:color w:val="000000" w:themeColor="text1"/>
                                <w:sz w:val="14"/>
                                <w:szCs w:val="14"/>
                              </w:rPr>
                              <w:t>WYŚWIETL PIERWSZY ZAŁĄCZNIK PDF Z XML</w:t>
                            </w:r>
                          </w:p>
                          <w:p w14:paraId="242C0758" w14:textId="77777777" w:rsidR="00C91FC9" w:rsidRPr="00FD705F" w:rsidRDefault="00C91FC9" w:rsidP="00C91FC9">
                            <w:pPr>
                              <w:rPr>
                                <w:rFonts w:ascii="Calibri" w:hAnsi="Calibri" w:cs="Calibri"/>
                                <w:i/>
                                <w:color w:val="000000" w:themeColor="text1"/>
                                <w:sz w:val="14"/>
                                <w:szCs w:val="14"/>
                              </w:rPr>
                            </w:pPr>
                            <w:r w:rsidRPr="00FD705F">
                              <w:rPr>
                                <w:i/>
                                <w:color w:val="000000" w:themeColor="text1"/>
                                <w:sz w:val="14"/>
                                <w:szCs w:val="14"/>
                              </w:rPr>
                              <w:t>DOKUMENTU”</w:t>
                            </w:r>
                            <w:r w:rsidRPr="00FD705F">
                              <w:rPr>
                                <w:i/>
                                <w:sz w:val="14"/>
                                <w:szCs w:val="14"/>
                              </w:rPr>
                              <w:tab/>
                            </w:r>
                            <w:r w:rsidRPr="00FD705F">
                              <w:rPr>
                                <w:i/>
                                <w:sz w:val="14"/>
                                <w:szCs w:val="14"/>
                              </w:rPr>
                              <w:tab/>
                            </w:r>
                            <w:r w:rsidRPr="00FD705F">
                              <w:rPr>
                                <w:i/>
                                <w:sz w:val="14"/>
                                <w:szCs w:val="14"/>
                              </w:rPr>
                              <w:tab/>
                            </w:r>
                            <w:r>
                              <w:rPr>
                                <w:i/>
                                <w:sz w:val="14"/>
                                <w:szCs w:val="14"/>
                              </w:rPr>
                              <w:t xml:space="preserve">                          </w:t>
                            </w:r>
                            <w:r w:rsidRPr="00FD705F">
                              <w:rPr>
                                <w:i/>
                                <w:sz w:val="14"/>
                                <w:szCs w:val="14"/>
                              </w:rPr>
                              <w:t xml:space="preserve">      </w:t>
                            </w:r>
                            <w:r w:rsidRPr="00FD705F">
                              <w:rPr>
                                <w:rFonts w:ascii="Calibri" w:hAnsi="Calibri" w:cs="Calibri"/>
                                <w:i/>
                                <w:color w:val="000000" w:themeColor="text1"/>
                                <w:sz w:val="14"/>
                                <w:szCs w:val="14"/>
                              </w:rPr>
                              <w:t xml:space="preserve">□ </w:t>
                            </w:r>
                            <w:r w:rsidRPr="00FD705F">
                              <w:rPr>
                                <w:i/>
                                <w:color w:val="000000" w:themeColor="text1"/>
                                <w:sz w:val="14"/>
                                <w:szCs w:val="14"/>
                              </w:rPr>
                              <w:t>WYŚWIETL PIERWSZY ZAŁĄCZNIK PDF Z POWIĄZANYCH</w:t>
                            </w:r>
                          </w:p>
                          <w:p w14:paraId="48227171" w14:textId="77777777" w:rsidR="00C91FC9" w:rsidRPr="00FD705F" w:rsidRDefault="00C91FC9" w:rsidP="00C91FC9">
                            <w:pPr>
                              <w:rPr>
                                <w:i/>
                                <w:color w:val="000000" w:themeColor="text1"/>
                                <w:sz w:val="14"/>
                                <w:szCs w:val="14"/>
                              </w:rPr>
                            </w:pPr>
                            <w:r w:rsidRPr="00FD705F">
                              <w:rPr>
                                <w:i/>
                                <w:sz w:val="14"/>
                                <w:szCs w:val="14"/>
                              </w:rPr>
                              <w:tab/>
                            </w:r>
                            <w:r w:rsidRPr="00FD705F">
                              <w:rPr>
                                <w:i/>
                                <w:sz w:val="14"/>
                                <w:szCs w:val="14"/>
                              </w:rPr>
                              <w:tab/>
                            </w:r>
                            <w:r w:rsidRPr="00FD705F">
                              <w:rPr>
                                <w:i/>
                                <w:sz w:val="14"/>
                                <w:szCs w:val="14"/>
                              </w:rPr>
                              <w:tab/>
                            </w:r>
                            <w:r w:rsidRPr="00FD705F">
                              <w:rPr>
                                <w:i/>
                                <w:sz w:val="14"/>
                                <w:szCs w:val="14"/>
                              </w:rPr>
                              <w:tab/>
                            </w:r>
                            <w:r w:rsidRPr="00B65380">
                              <w:rPr>
                                <w:i/>
                                <w:sz w:val="14"/>
                                <w:szCs w:val="14"/>
                              </w:rPr>
                              <w:t xml:space="preserve">  </w:t>
                            </w:r>
                            <w:r>
                              <w:rPr>
                                <w:i/>
                                <w:sz w:val="14"/>
                                <w:szCs w:val="14"/>
                              </w:rPr>
                              <w:t xml:space="preserve">                          </w:t>
                            </w:r>
                            <w:r w:rsidRPr="00B65380">
                              <w:rPr>
                                <w:i/>
                                <w:sz w:val="14"/>
                                <w:szCs w:val="14"/>
                              </w:rPr>
                              <w:t xml:space="preserve">    </w:t>
                            </w:r>
                            <w:r w:rsidRPr="00FD705F">
                              <w:rPr>
                                <w:rFonts w:ascii="Arial" w:hAnsi="Arial" w:cs="Arial"/>
                                <w:i/>
                                <w:color w:val="000000" w:themeColor="text1"/>
                                <w:sz w:val="14"/>
                                <w:szCs w:val="14"/>
                              </w:rPr>
                              <w:t>□</w:t>
                            </w:r>
                            <w:r w:rsidRPr="00FD705F">
                              <w:rPr>
                                <w:i/>
                                <w:color w:val="000000" w:themeColor="text1"/>
                                <w:sz w:val="14"/>
                                <w:szCs w:val="14"/>
                              </w:rPr>
                              <w:t xml:space="preserve"> UKRYJ ZAKŁADKĘ „PODGLĄD DOKUMENTU”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DD477" id="Prostokąt 1" o:spid="_x0000_s1026" style="position:absolute;margin-left:0;margin-top:7.65pt;width:449.75pt;height:90.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" fillcolor="#e7e6e6 [3214]" strokecolor="#1f3763 [1604]" strokeweight="1pt">
                <v:textbox>
                  <w:txbxContent>
                    <w:p w14:paraId="1A074698" w14:textId="77777777" w:rsidR="00C91FC9" w:rsidRPr="00FD705F" w:rsidRDefault="00C91FC9" w:rsidP="00C91FC9">
                      <w:pPr>
                        <w:rPr>
                          <w:i/>
                          <w:color w:val="000000" w:themeColor="text1"/>
                          <w:sz w:val="14"/>
                          <w:szCs w:val="14"/>
                        </w:rPr>
                      </w:pPr>
                      <w:r w:rsidRPr="00FD705F">
                        <w:rPr>
                          <w:i/>
                          <w:color w:val="000000" w:themeColor="text1"/>
                          <w:sz w:val="14"/>
                          <w:szCs w:val="14"/>
                        </w:rPr>
                        <w:t>OBSŁUGA ZAŁĄCZNIKÓW W „PODGLĄD</w:t>
                      </w:r>
                      <w:r w:rsidRPr="00FD705F">
                        <w:rPr>
                          <w:i/>
                          <w:color w:val="000000" w:themeColor="text1"/>
                          <w:sz w:val="14"/>
                          <w:szCs w:val="14"/>
                        </w:rPr>
                        <w:tab/>
                        <w:t xml:space="preserve"> </w:t>
                      </w:r>
                      <w:r>
                        <w:rPr>
                          <w:i/>
                          <w:color w:val="000000" w:themeColor="text1"/>
                          <w:sz w:val="14"/>
                          <w:szCs w:val="14"/>
                        </w:rPr>
                        <w:t xml:space="preserve">                           </w:t>
                      </w:r>
                      <w:r w:rsidRPr="00FD705F">
                        <w:rPr>
                          <w:i/>
                          <w:color w:val="000000" w:themeColor="text1"/>
                          <w:sz w:val="14"/>
                          <w:szCs w:val="14"/>
                        </w:rPr>
                        <w:t xml:space="preserve">    </w:t>
                      </w:r>
                      <w:r w:rsidRPr="00FD705F">
                        <w:rPr>
                          <w:rFonts w:ascii="Calibri" w:hAnsi="Calibri" w:cs="Calibri"/>
                          <w:i/>
                          <w:color w:val="000000" w:themeColor="text1"/>
                          <w:sz w:val="14"/>
                          <w:szCs w:val="14"/>
                        </w:rPr>
                        <w:t xml:space="preserve">□ </w:t>
                      </w:r>
                      <w:r w:rsidRPr="00FD705F">
                        <w:rPr>
                          <w:i/>
                          <w:color w:val="000000" w:themeColor="text1"/>
                          <w:sz w:val="14"/>
                          <w:szCs w:val="14"/>
                        </w:rPr>
                        <w:t>WYŚWIETL PIERWSZY ZAŁĄCZNIK PDF Z XML</w:t>
                      </w:r>
                    </w:p>
                    <w:p w14:paraId="242C0758" w14:textId="77777777" w:rsidR="00C91FC9" w:rsidRPr="00FD705F" w:rsidRDefault="00C91FC9" w:rsidP="00C91FC9">
                      <w:pPr>
                        <w:rPr>
                          <w:rFonts w:ascii="Calibri" w:hAnsi="Calibri" w:cs="Calibri"/>
                          <w:i/>
                          <w:color w:val="000000" w:themeColor="text1"/>
                          <w:sz w:val="14"/>
                          <w:szCs w:val="14"/>
                        </w:rPr>
                      </w:pPr>
                      <w:r w:rsidRPr="00FD705F">
                        <w:rPr>
                          <w:i/>
                          <w:color w:val="000000" w:themeColor="text1"/>
                          <w:sz w:val="14"/>
                          <w:szCs w:val="14"/>
                        </w:rPr>
                        <w:t>DOKUMENTU”</w:t>
                      </w:r>
                      <w:r w:rsidRPr="00FD705F">
                        <w:rPr>
                          <w:i/>
                          <w:sz w:val="14"/>
                          <w:szCs w:val="14"/>
                        </w:rPr>
                        <w:tab/>
                      </w:r>
                      <w:r w:rsidRPr="00FD705F">
                        <w:rPr>
                          <w:i/>
                          <w:sz w:val="14"/>
                          <w:szCs w:val="14"/>
                        </w:rPr>
                        <w:tab/>
                      </w:r>
                      <w:r w:rsidRPr="00FD705F">
                        <w:rPr>
                          <w:i/>
                          <w:sz w:val="14"/>
                          <w:szCs w:val="14"/>
                        </w:rPr>
                        <w:tab/>
                      </w:r>
                      <w:r>
                        <w:rPr>
                          <w:i/>
                          <w:sz w:val="14"/>
                          <w:szCs w:val="14"/>
                        </w:rPr>
                        <w:t xml:space="preserve">                          </w:t>
                      </w:r>
                      <w:r w:rsidRPr="00FD705F">
                        <w:rPr>
                          <w:i/>
                          <w:sz w:val="14"/>
                          <w:szCs w:val="14"/>
                        </w:rPr>
                        <w:t xml:space="preserve">      </w:t>
                      </w:r>
                      <w:r w:rsidRPr="00FD705F">
                        <w:rPr>
                          <w:rFonts w:ascii="Calibri" w:hAnsi="Calibri" w:cs="Calibri"/>
                          <w:i/>
                          <w:color w:val="000000" w:themeColor="text1"/>
                          <w:sz w:val="14"/>
                          <w:szCs w:val="14"/>
                        </w:rPr>
                        <w:t xml:space="preserve">□ </w:t>
                      </w:r>
                      <w:r w:rsidRPr="00FD705F">
                        <w:rPr>
                          <w:i/>
                          <w:color w:val="000000" w:themeColor="text1"/>
                          <w:sz w:val="14"/>
                          <w:szCs w:val="14"/>
                        </w:rPr>
                        <w:t>WYŚWIETL PIERWSZY ZAŁĄCZNIK PDF Z POWIĄZANYCH</w:t>
                      </w:r>
                    </w:p>
                    <w:p w14:paraId="48227171" w14:textId="77777777" w:rsidR="00C91FC9" w:rsidRPr="00FD705F" w:rsidRDefault="00C91FC9" w:rsidP="00C91FC9">
                      <w:pPr>
                        <w:rPr>
                          <w:i/>
                          <w:color w:val="000000" w:themeColor="text1"/>
                          <w:sz w:val="14"/>
                          <w:szCs w:val="14"/>
                        </w:rPr>
                      </w:pPr>
                      <w:r w:rsidRPr="00FD705F">
                        <w:rPr>
                          <w:i/>
                          <w:sz w:val="14"/>
                          <w:szCs w:val="14"/>
                        </w:rPr>
                        <w:tab/>
                      </w:r>
                      <w:r w:rsidRPr="00FD705F">
                        <w:rPr>
                          <w:i/>
                          <w:sz w:val="14"/>
                          <w:szCs w:val="14"/>
                        </w:rPr>
                        <w:tab/>
                      </w:r>
                      <w:r w:rsidRPr="00FD705F">
                        <w:rPr>
                          <w:i/>
                          <w:sz w:val="14"/>
                          <w:szCs w:val="14"/>
                        </w:rPr>
                        <w:tab/>
                      </w:r>
                      <w:r w:rsidRPr="00FD705F">
                        <w:rPr>
                          <w:i/>
                          <w:sz w:val="14"/>
                          <w:szCs w:val="14"/>
                        </w:rPr>
                        <w:tab/>
                      </w:r>
                      <w:r w:rsidRPr="00B65380">
                        <w:rPr>
                          <w:i/>
                          <w:sz w:val="14"/>
                          <w:szCs w:val="14"/>
                        </w:rPr>
                        <w:t xml:space="preserve">  </w:t>
                      </w:r>
                      <w:r>
                        <w:rPr>
                          <w:i/>
                          <w:sz w:val="14"/>
                          <w:szCs w:val="14"/>
                        </w:rPr>
                        <w:t xml:space="preserve">                          </w:t>
                      </w:r>
                      <w:r w:rsidRPr="00B65380">
                        <w:rPr>
                          <w:i/>
                          <w:sz w:val="14"/>
                          <w:szCs w:val="14"/>
                        </w:rPr>
                        <w:t xml:space="preserve">    </w:t>
                      </w:r>
                      <w:r w:rsidRPr="00FD705F">
                        <w:rPr>
                          <w:rFonts w:ascii="Arial" w:hAnsi="Arial" w:cs="Arial"/>
                          <w:i/>
                          <w:color w:val="000000" w:themeColor="text1"/>
                          <w:sz w:val="14"/>
                          <w:szCs w:val="14"/>
                        </w:rPr>
                        <w:t>□</w:t>
                      </w:r>
                      <w:r w:rsidRPr="00FD705F">
                        <w:rPr>
                          <w:i/>
                          <w:color w:val="000000" w:themeColor="text1"/>
                          <w:sz w:val="14"/>
                          <w:szCs w:val="14"/>
                        </w:rPr>
                        <w:t xml:space="preserve"> UKRYJ ZAKŁADKĘ „PODGLĄD DOKUMENTU”</w:t>
                      </w:r>
                    </w:p>
                  </w:txbxContent>
                </v:textbox>
                <w10:wrap anchorx="margin"/>
              </v:rect>
            </w:pict>
          </mc:Fallback>
        </mc:AlternateContent>
      </w:r>
      <w:r w:rsidRPr="00814213">
        <w:tab/>
      </w:r>
    </w:p>
    <w:p w14:paraId="4D4BE1D1" w14:textId="77777777" w:rsidR="00C91FC9" w:rsidRPr="00814213" w:rsidRDefault="00C91FC9" w:rsidP="00C91FC9"/>
    <w:p w14:paraId="7322F49A" w14:textId="77777777" w:rsidR="00C91FC9" w:rsidRPr="00814213" w:rsidRDefault="00C91FC9" w:rsidP="00C91FC9"/>
    <w:p w14:paraId="1F0EA472" w14:textId="77777777" w:rsidR="00C91FC9" w:rsidRPr="00814213" w:rsidRDefault="00C91FC9" w:rsidP="00C91FC9"/>
    <w:p w14:paraId="0FC75D7E" w14:textId="77777777" w:rsidR="00C91FC9" w:rsidRPr="00814213" w:rsidRDefault="00C91FC9" w:rsidP="00C91FC9">
      <w:pPr>
        <w:pStyle w:val="Legenda"/>
        <w:keepNext/>
      </w:pPr>
    </w:p>
    <w:tbl>
      <w:tblPr>
        <w:tblStyle w:val="Tabela-Siatka"/>
        <w:tblpPr w:leftFromText="141" w:rightFromText="141" w:vertAnchor="text" w:horzAnchor="margin" w:tblpY="691"/>
        <w:tblW w:w="0" w:type="auto"/>
        <w:tblLook w:val="04A0" w:firstRow="1" w:lastRow="0" w:firstColumn="1" w:lastColumn="0" w:noHBand="0" w:noVBand="1"/>
      </w:tblPr>
      <w:tblGrid>
        <w:gridCol w:w="3020"/>
        <w:gridCol w:w="3021"/>
        <w:gridCol w:w="3021"/>
      </w:tblGrid>
      <w:tr w:rsidR="00C91FC9" w:rsidRPr="00814213" w14:paraId="1D401F04" w14:textId="77777777" w:rsidTr="00466E50">
        <w:tc>
          <w:tcPr>
            <w:tcW w:w="9062" w:type="dxa"/>
            <w:gridSpan w:val="3"/>
          </w:tcPr>
          <w:p w14:paraId="6E5A6776" w14:textId="77777777" w:rsidR="00C91FC9" w:rsidRPr="00814213" w:rsidRDefault="00C91FC9" w:rsidP="00466E50">
            <w:pPr>
              <w:pStyle w:val="Nagwek1"/>
              <w:outlineLvl w:val="0"/>
              <w:rPr>
                <w:b w:val="0"/>
                <w:sz w:val="24"/>
                <w:szCs w:val="24"/>
              </w:rPr>
            </w:pPr>
            <w:r w:rsidRPr="00814213">
              <w:rPr>
                <w:b w:val="0"/>
                <w:sz w:val="24"/>
                <w:szCs w:val="24"/>
              </w:rPr>
              <w:t>Podgląd dokumentu</w:t>
            </w:r>
          </w:p>
        </w:tc>
      </w:tr>
      <w:tr w:rsidR="00C91FC9" w:rsidRPr="00814213" w14:paraId="002AABF4" w14:textId="77777777" w:rsidTr="00466E50">
        <w:tc>
          <w:tcPr>
            <w:tcW w:w="3020" w:type="dxa"/>
            <w:vAlign w:val="center"/>
          </w:tcPr>
          <w:p w14:paraId="3FF2ADC0" w14:textId="77777777" w:rsidR="00C91FC9" w:rsidRPr="00814213" w:rsidRDefault="00C91FC9" w:rsidP="00466E50">
            <w:pPr>
              <w:pStyle w:val="Nagwek1"/>
              <w:outlineLvl w:val="0"/>
              <w:rPr>
                <w:b w:val="0"/>
                <w:sz w:val="24"/>
                <w:szCs w:val="24"/>
              </w:rPr>
            </w:pPr>
            <w:r w:rsidRPr="00814213">
              <w:rPr>
                <w:b w:val="0"/>
                <w:sz w:val="24"/>
                <w:szCs w:val="24"/>
              </w:rPr>
              <w:t>Podgląd dokumentu</w:t>
            </w:r>
          </w:p>
        </w:tc>
        <w:tc>
          <w:tcPr>
            <w:tcW w:w="3021" w:type="dxa"/>
            <w:vAlign w:val="center"/>
          </w:tcPr>
          <w:p w14:paraId="5C007BA9" w14:textId="77777777" w:rsidR="00C91FC9" w:rsidRPr="00814213" w:rsidRDefault="00C91FC9" w:rsidP="00466E50">
            <w:pPr>
              <w:pStyle w:val="Nagwek1"/>
              <w:outlineLvl w:val="0"/>
              <w:rPr>
                <w:b w:val="0"/>
                <w:sz w:val="24"/>
                <w:szCs w:val="24"/>
              </w:rPr>
            </w:pPr>
            <w:r w:rsidRPr="00814213">
              <w:rPr>
                <w:b w:val="0"/>
                <w:sz w:val="24"/>
                <w:szCs w:val="24"/>
              </w:rPr>
              <w:t>Podgląd XML</w:t>
            </w:r>
          </w:p>
        </w:tc>
        <w:tc>
          <w:tcPr>
            <w:tcW w:w="3021" w:type="dxa"/>
            <w:shd w:val="clear" w:color="auto" w:fill="E7E6E6" w:themeFill="background2"/>
            <w:vAlign w:val="center"/>
          </w:tcPr>
          <w:p w14:paraId="1994E53A" w14:textId="77777777" w:rsidR="00C91FC9" w:rsidRPr="00814213" w:rsidRDefault="00C91FC9" w:rsidP="00466E50">
            <w:pPr>
              <w:pStyle w:val="Nagwek1"/>
              <w:outlineLvl w:val="0"/>
              <w:rPr>
                <w:b w:val="0"/>
                <w:sz w:val="24"/>
                <w:szCs w:val="24"/>
              </w:rPr>
            </w:pPr>
            <w:r w:rsidRPr="00814213">
              <w:rPr>
                <w:b w:val="0"/>
                <w:sz w:val="24"/>
                <w:szCs w:val="24"/>
              </w:rPr>
              <w:t>Podgląd załączników</w:t>
            </w:r>
          </w:p>
        </w:tc>
      </w:tr>
      <w:tr w:rsidR="00C91FC9" w:rsidRPr="00814213" w14:paraId="2DCF954C" w14:textId="77777777" w:rsidTr="00466E50">
        <w:tc>
          <w:tcPr>
            <w:tcW w:w="9062" w:type="dxa"/>
            <w:gridSpan w:val="3"/>
          </w:tcPr>
          <w:p w14:paraId="001366DE" w14:textId="77777777" w:rsidR="00C91FC9" w:rsidRPr="00814213" w:rsidRDefault="00C91FC9" w:rsidP="00466E50">
            <w:pPr>
              <w:pStyle w:val="Nagwek1"/>
              <w:outlineLvl w:val="0"/>
              <w:rPr>
                <w:b w:val="0"/>
                <w:sz w:val="24"/>
                <w:szCs w:val="24"/>
              </w:rPr>
            </w:pPr>
            <w:r w:rsidRPr="00814213">
              <w:rPr>
                <w:b w:val="0"/>
                <w:sz w:val="24"/>
                <w:szCs w:val="24"/>
              </w:rPr>
              <w:t>Załączniki:</w:t>
            </w:r>
          </w:p>
          <w:p w14:paraId="035E011C" w14:textId="77777777" w:rsidR="00C91FC9" w:rsidRPr="00814213" w:rsidRDefault="00C91FC9" w:rsidP="00466E50">
            <w:r w:rsidRPr="00814213">
              <w:rPr>
                <w:rFonts w:ascii="Arial" w:hAnsi="Arial" w:cs="Arial"/>
              </w:rPr>
              <w:t>●</w:t>
            </w:r>
            <w:r w:rsidRPr="00814213">
              <w:rPr>
                <w:rFonts w:cs="Calibri"/>
              </w:rPr>
              <w:t xml:space="preserve"> Potwierdzenie rejestracji</w:t>
            </w:r>
          </w:p>
          <w:p w14:paraId="485D4256" w14:textId="77777777" w:rsidR="00C91FC9" w:rsidRPr="00814213" w:rsidRDefault="00C91FC9" w:rsidP="00466E50">
            <w:pPr>
              <w:rPr>
                <w:rFonts w:cs="Calibri"/>
              </w:rPr>
            </w:pPr>
            <w:r w:rsidRPr="00814213">
              <w:rPr>
                <w:rFonts w:ascii="Arial" w:hAnsi="Arial" w:cs="Arial"/>
              </w:rPr>
              <w:t>○</w:t>
            </w:r>
            <w:r w:rsidRPr="00814213">
              <w:rPr>
                <w:rFonts w:cs="Calibri"/>
              </w:rPr>
              <w:t xml:space="preserve"> Za</w:t>
            </w:r>
            <w:r w:rsidRPr="00814213">
              <w:rPr>
                <w:rFonts w:cs="Lato"/>
              </w:rPr>
              <w:t>łą</w:t>
            </w:r>
            <w:r w:rsidRPr="00814213">
              <w:rPr>
                <w:rFonts w:cs="Calibri"/>
              </w:rPr>
              <w:t>cznik 2</w:t>
            </w:r>
          </w:p>
          <w:p w14:paraId="3CC6B30C" w14:textId="77777777" w:rsidR="00C91FC9" w:rsidRPr="00814213" w:rsidRDefault="00C91FC9" w:rsidP="00466E50">
            <w:r w:rsidRPr="00814213">
              <w:rPr>
                <w:rFonts w:ascii="Arial" w:hAnsi="Arial" w:cs="Arial"/>
              </w:rPr>
              <w:t>○</w:t>
            </w:r>
            <w:r w:rsidRPr="00814213">
              <w:rPr>
                <w:rFonts w:cs="Calibri"/>
              </w:rPr>
              <w:t xml:space="preserve"> Za</w:t>
            </w:r>
            <w:r w:rsidRPr="00814213">
              <w:rPr>
                <w:rFonts w:cs="Lato"/>
              </w:rPr>
              <w:t>łą</w:t>
            </w:r>
            <w:r w:rsidRPr="00814213">
              <w:rPr>
                <w:rFonts w:cs="Calibri"/>
              </w:rPr>
              <w:t>cznik 3</w:t>
            </w:r>
          </w:p>
        </w:tc>
      </w:tr>
      <w:tr w:rsidR="00C91FC9" w:rsidRPr="00814213" w14:paraId="3E1041F0" w14:textId="77777777" w:rsidTr="00466E50">
        <w:tc>
          <w:tcPr>
            <w:tcW w:w="9062" w:type="dxa"/>
            <w:gridSpan w:val="3"/>
          </w:tcPr>
          <w:p w14:paraId="0F9F5875" w14:textId="77777777" w:rsidR="00C91FC9" w:rsidRPr="00814213" w:rsidRDefault="00C91FC9" w:rsidP="00466E50">
            <w:pPr>
              <w:pStyle w:val="Nagwek1"/>
              <w:outlineLvl w:val="0"/>
              <w:rPr>
                <w:b w:val="0"/>
                <w:sz w:val="52"/>
                <w:szCs w:val="52"/>
              </w:rPr>
            </w:pPr>
            <w:r w:rsidRPr="00814213">
              <w:rPr>
                <w:b w:val="0"/>
                <w:sz w:val="52"/>
                <w:szCs w:val="52"/>
              </w:rPr>
              <w:t>Treść wybranego załącznika: „Potwierdzenie rejestracji”</w:t>
            </w:r>
          </w:p>
          <w:p w14:paraId="6F113DCB" w14:textId="77777777" w:rsidR="00C91FC9" w:rsidRPr="00814213" w:rsidRDefault="00C91FC9" w:rsidP="00466E50"/>
          <w:p w14:paraId="037C84EB" w14:textId="77777777" w:rsidR="00C91FC9" w:rsidRPr="00814213" w:rsidRDefault="00C91FC9" w:rsidP="00466E50">
            <w:pPr>
              <w:jc w:val="right"/>
            </w:pPr>
            <w:r w:rsidRPr="00814213">
              <w:t>Drukuj    Pobierz    Zamknij</w:t>
            </w:r>
          </w:p>
          <w:p w14:paraId="5B03DBB3" w14:textId="77777777" w:rsidR="00C91FC9" w:rsidRPr="00814213" w:rsidRDefault="00C91FC9" w:rsidP="00466E50"/>
        </w:tc>
      </w:tr>
    </w:tbl>
    <w:p w14:paraId="10BE5AD9" w14:textId="77777777" w:rsidR="00C91FC9" w:rsidRPr="00814213" w:rsidRDefault="00C91FC9" w:rsidP="00C91FC9">
      <w:pPr>
        <w:pStyle w:val="Legenda"/>
        <w:keepNext/>
      </w:pPr>
      <w:r w:rsidRPr="00814213">
        <w:t xml:space="preserve">Rysunek </w:t>
      </w:r>
      <w:fldSimple w:instr=" SEQ Rysunek \* ARABIC ">
        <w:r w:rsidRPr="00814213">
          <w:rPr>
            <w:noProof/>
          </w:rPr>
          <w:t>2</w:t>
        </w:r>
      </w:fldSimple>
      <w:r w:rsidRPr="00814213">
        <w:t xml:space="preserve">. </w:t>
      </w:r>
    </w:p>
    <w:p w14:paraId="71AFF552" w14:textId="77777777" w:rsidR="00C91FC9" w:rsidRPr="00814213" w:rsidRDefault="00C91FC9" w:rsidP="00C91FC9"/>
    <w:p w14:paraId="0663375D" w14:textId="77777777" w:rsidR="00C91FC9" w:rsidRPr="00814213" w:rsidRDefault="00C91FC9" w:rsidP="00C91FC9">
      <w:pPr>
        <w:pStyle w:val="Nagwek1"/>
      </w:pPr>
      <w:r w:rsidRPr="00814213">
        <w:lastRenderedPageBreak/>
        <w:t>Szczegóły zadania WP-1</w:t>
      </w:r>
    </w:p>
    <w:p w14:paraId="274FA5E8" w14:textId="77777777" w:rsidR="00C91FC9" w:rsidRPr="00814213" w:rsidRDefault="00C91FC9" w:rsidP="00C91FC9">
      <w:r w:rsidRPr="00814213">
        <w:t>Sprawdzenie parametrów wydajnościowych obecnego systemu.</w:t>
      </w:r>
    </w:p>
    <w:p w14:paraId="359C74D2" w14:textId="77777777" w:rsidR="00C91FC9" w:rsidRPr="00814213" w:rsidRDefault="00C91FC9" w:rsidP="00C91FC9">
      <w:r w:rsidRPr="00814213">
        <w:t>Celem realizacji wymagania jest sprawdzenie parametrów wydajnościowych obecnego systemu.</w:t>
      </w:r>
    </w:p>
    <w:p w14:paraId="4E3A7754" w14:textId="77777777" w:rsidR="00C91FC9" w:rsidRPr="00814213" w:rsidRDefault="00C91FC9" w:rsidP="00C91FC9">
      <w:r w:rsidRPr="00814213">
        <w:t>System SEAP został zbudowany w oparciu o następujące parametry wydajnościowe:</w:t>
      </w:r>
    </w:p>
    <w:p w14:paraId="34009F98" w14:textId="77777777" w:rsidR="00C91FC9" w:rsidRPr="00814213" w:rsidRDefault="00C91FC9" w:rsidP="00C91FC9">
      <w:pPr>
        <w:pStyle w:val="Akapitzlist"/>
        <w:numPr>
          <w:ilvl w:val="0"/>
          <w:numId w:val="2"/>
        </w:numPr>
      </w:pPr>
      <w:r w:rsidRPr="00814213">
        <w:t xml:space="preserve">wymiana/przechowywanie 200 milionów komunikatów rocznie, </w:t>
      </w:r>
    </w:p>
    <w:p w14:paraId="16F7480A" w14:textId="77777777" w:rsidR="00C91FC9" w:rsidRPr="00814213" w:rsidRDefault="00C91FC9" w:rsidP="00C91FC9">
      <w:pPr>
        <w:pStyle w:val="Akapitzlist"/>
        <w:numPr>
          <w:ilvl w:val="0"/>
          <w:numId w:val="2"/>
        </w:numPr>
      </w:pPr>
      <w:r w:rsidRPr="00814213">
        <w:t>średnia wielkość komunikatu - 32 KB,</w:t>
      </w:r>
    </w:p>
    <w:p w14:paraId="2793557E" w14:textId="77777777" w:rsidR="00C91FC9" w:rsidRPr="00814213" w:rsidRDefault="00C91FC9" w:rsidP="00C91FC9">
      <w:pPr>
        <w:pStyle w:val="Akapitzlist"/>
        <w:numPr>
          <w:ilvl w:val="0"/>
          <w:numId w:val="2"/>
        </w:numPr>
      </w:pPr>
      <w:r w:rsidRPr="00814213">
        <w:t>przetwarzanie minimum 40 komunikatów na sekundę dla wszystkich kanałów komunikacji (nie mniej niż 20 komunikatów na sekundę w jednym kierunku), przy jednoczesnej pracy do 3000 Użytkowników zalogowanych do zewnętrznego Portalu PUESC oraz do 1000 Użytkowników wewnętrznych zalogowanych do wewnętrznego Portalu PUESC,</w:t>
      </w:r>
    </w:p>
    <w:p w14:paraId="5A437C8B" w14:textId="77777777" w:rsidR="00C91FC9" w:rsidRPr="00814213" w:rsidRDefault="00C91FC9" w:rsidP="00C91FC9">
      <w:pPr>
        <w:pStyle w:val="Akapitzlist"/>
        <w:numPr>
          <w:ilvl w:val="0"/>
          <w:numId w:val="2"/>
        </w:numPr>
      </w:pPr>
      <w:r w:rsidRPr="00814213">
        <w:t>wydajność Systemu SEAP PLUS musi, przy pełnym obciążeniu zakładaną liczbą użytkowników, zapewniać odpowiedź w czasie:</w:t>
      </w:r>
    </w:p>
    <w:p w14:paraId="6A0DBC0E" w14:textId="77777777" w:rsidR="00C91FC9" w:rsidRPr="00814213" w:rsidRDefault="00C91FC9" w:rsidP="00C91FC9">
      <w:pPr>
        <w:pStyle w:val="Akapitzlist"/>
        <w:numPr>
          <w:ilvl w:val="1"/>
          <w:numId w:val="2"/>
        </w:numPr>
      </w:pPr>
      <w:r w:rsidRPr="00814213">
        <w:t>do 3 sekund dla kanałów niewizualnych (przyjęcie/dostarczenie średniej wielkości komunikatu),</w:t>
      </w:r>
    </w:p>
    <w:p w14:paraId="2BF463F1" w14:textId="77777777" w:rsidR="00C91FC9" w:rsidRPr="00814213" w:rsidRDefault="00C91FC9" w:rsidP="00C91FC9">
      <w:pPr>
        <w:pStyle w:val="Akapitzlist"/>
        <w:numPr>
          <w:ilvl w:val="1"/>
          <w:numId w:val="2"/>
        </w:numPr>
      </w:pPr>
      <w:r w:rsidRPr="00814213">
        <w:t>do 6 sekund dla kanału wizualnego.</w:t>
      </w:r>
    </w:p>
    <w:p w14:paraId="59AADBE2" w14:textId="77777777" w:rsidR="00C91FC9" w:rsidRPr="00814213" w:rsidRDefault="00C91FC9" w:rsidP="00C91FC9">
      <w:pPr>
        <w:ind w:left="709"/>
      </w:pPr>
      <w:r w:rsidRPr="00814213">
        <w:t>Czas przetworzenia i przesłania komunikatu przez System SEAP PLUS nie może być dłuższy niż 3 sekundy.</w:t>
      </w:r>
    </w:p>
    <w:p w14:paraId="0AC243F2" w14:textId="77777777" w:rsidR="00C91FC9" w:rsidRPr="00814213" w:rsidRDefault="00C91FC9" w:rsidP="00C91FC9"/>
    <w:p w14:paraId="59B56265" w14:textId="77777777" w:rsidR="00C91FC9" w:rsidRPr="00814213" w:rsidRDefault="00C91FC9" w:rsidP="00C91FC9">
      <w:r w:rsidRPr="00814213">
        <w:t>Wykonawca zobowiązany jest do:</w:t>
      </w:r>
    </w:p>
    <w:p w14:paraId="1E8CA179" w14:textId="77777777" w:rsidR="00C91FC9" w:rsidRPr="00814213" w:rsidRDefault="00C91FC9" w:rsidP="00C91FC9">
      <w:pPr>
        <w:pStyle w:val="Akapitzlist"/>
        <w:numPr>
          <w:ilvl w:val="0"/>
          <w:numId w:val="2"/>
        </w:numPr>
      </w:pPr>
      <w:r w:rsidRPr="00814213">
        <w:t>przygotowania scenariuszy testów wydajnościowych, które  muszą być uzgodnione i zaakceptowane przez Zamawiającego. Scenariusze muszą odzwierciedlać rzeczywistą pracę użytkowników w systemie,</w:t>
      </w:r>
    </w:p>
    <w:p w14:paraId="141B5E33" w14:textId="77777777" w:rsidR="00C91FC9" w:rsidRPr="00814213" w:rsidRDefault="00C91FC9" w:rsidP="00C91FC9">
      <w:pPr>
        <w:pStyle w:val="Akapitzlist"/>
        <w:numPr>
          <w:ilvl w:val="0"/>
          <w:numId w:val="2"/>
        </w:numPr>
      </w:pPr>
      <w:r w:rsidRPr="00814213">
        <w:t xml:space="preserve">przeprowadzenia testów wydajnościowych i ustalenia bieżących parametrów wydajnościowych Systemu, </w:t>
      </w:r>
    </w:p>
    <w:p w14:paraId="78F989B0" w14:textId="77777777" w:rsidR="00C91FC9" w:rsidRPr="00814213" w:rsidRDefault="00C91FC9" w:rsidP="00C91FC9">
      <w:pPr>
        <w:pStyle w:val="Akapitzlist"/>
        <w:numPr>
          <w:ilvl w:val="0"/>
          <w:numId w:val="2"/>
        </w:numPr>
      </w:pPr>
      <w:r w:rsidRPr="00814213">
        <w:t>ustalenia wraz z Zamawiającym przelicznika wydajności środowiska testowego w stosunku do środowiska produkcyjnego. Przy czym należy pamiętać, że środowiska pierwotnie zbudowane zostały tak aby przelicznik ten wynosił 1 do 4 w zakresie środowiska testowego do produkcyjnego.</w:t>
      </w:r>
    </w:p>
    <w:p w14:paraId="182429DD" w14:textId="77777777" w:rsidR="00C91FC9" w:rsidRPr="00814213" w:rsidRDefault="00C91FC9" w:rsidP="00C91FC9">
      <w:r w:rsidRPr="00814213">
        <w:t>Zamawiający dopuszcza przeprowadzenie testów wydajnościowych na środowisku produkcyjnym za zgodą Zamawiającego i przy zachowaniu zasad:</w:t>
      </w:r>
    </w:p>
    <w:p w14:paraId="3E66BFC1" w14:textId="77777777" w:rsidR="00C91FC9" w:rsidRPr="00814213" w:rsidRDefault="00C91FC9" w:rsidP="00C91FC9">
      <w:pPr>
        <w:pStyle w:val="Akapitzlist"/>
        <w:numPr>
          <w:ilvl w:val="0"/>
          <w:numId w:val="2"/>
        </w:numPr>
      </w:pPr>
      <w:r w:rsidRPr="00814213">
        <w:t>na środowisku produkcyjnym nie powstaną dane o charakterze produkcyjnym,</w:t>
      </w:r>
    </w:p>
    <w:p w14:paraId="06D718FF" w14:textId="77777777" w:rsidR="00C91FC9" w:rsidRPr="00814213" w:rsidRDefault="00C91FC9" w:rsidP="00C91FC9">
      <w:pPr>
        <w:pStyle w:val="Akapitzlist"/>
        <w:numPr>
          <w:ilvl w:val="0"/>
          <w:numId w:val="2"/>
        </w:numPr>
      </w:pPr>
      <w:r w:rsidRPr="00814213">
        <w:t>dane użyte, wytworzone w trakcie testów wydajnościowych zostaną usunięte,</w:t>
      </w:r>
    </w:p>
    <w:p w14:paraId="04E6A5DD" w14:textId="77777777" w:rsidR="00C91FC9" w:rsidRPr="00814213" w:rsidRDefault="00C91FC9" w:rsidP="00C91FC9">
      <w:pPr>
        <w:pStyle w:val="Akapitzlist"/>
        <w:numPr>
          <w:ilvl w:val="0"/>
          <w:numId w:val="2"/>
        </w:numPr>
      </w:pPr>
      <w:r w:rsidRPr="00814213">
        <w:t>testy będą prowadzone w oknie serwisowym uzgodnionym z Zamawiającym.</w:t>
      </w:r>
    </w:p>
    <w:p w14:paraId="1F75BDBE" w14:textId="77777777" w:rsidR="00C91FC9" w:rsidRPr="00814213" w:rsidRDefault="00C91FC9" w:rsidP="00C91FC9">
      <w:r w:rsidRPr="00814213">
        <w:lastRenderedPageBreak/>
        <w:t>Wykonawca zobowiązany jest do utrzymania parametrów wydajnościowych w każdej następnej wersji Systemu SEAP.</w:t>
      </w:r>
    </w:p>
    <w:p w14:paraId="02FCED2E" w14:textId="77777777" w:rsidR="00C91FC9" w:rsidRPr="00814213" w:rsidRDefault="00C91FC9" w:rsidP="00C91FC9">
      <w:r w:rsidRPr="00814213">
        <w:t>Wymagania dla testu wydajności:</w:t>
      </w:r>
    </w:p>
    <w:p w14:paraId="3C23B84E" w14:textId="77777777" w:rsidR="00C91FC9" w:rsidRPr="00814213" w:rsidRDefault="00C91FC9" w:rsidP="00C91FC9">
      <w:pPr>
        <w:pStyle w:val="Akapitzlist"/>
        <w:numPr>
          <w:ilvl w:val="0"/>
          <w:numId w:val="2"/>
        </w:numPr>
      </w:pPr>
      <w:r w:rsidRPr="00814213">
        <w:t>średnia wielkość komunikatu - 32 KB,</w:t>
      </w:r>
    </w:p>
    <w:p w14:paraId="416263D3" w14:textId="77777777" w:rsidR="00C91FC9" w:rsidRPr="00814213" w:rsidRDefault="00C91FC9" w:rsidP="00C91FC9">
      <w:pPr>
        <w:pStyle w:val="Akapitzlist"/>
        <w:numPr>
          <w:ilvl w:val="0"/>
          <w:numId w:val="2"/>
        </w:numPr>
      </w:pPr>
      <w:r w:rsidRPr="00814213">
        <w:t>zbadanie liczby komunikatów na sekundę, które są stabilnie przetwarzane w systemie dla przypadków wysyłania komunikatów:</w:t>
      </w:r>
    </w:p>
    <w:p w14:paraId="769C7E2D" w14:textId="77777777" w:rsidR="00C91FC9" w:rsidRPr="00814213" w:rsidRDefault="00C91FC9" w:rsidP="00C91FC9">
      <w:pPr>
        <w:pStyle w:val="Akapitzlist"/>
        <w:numPr>
          <w:ilvl w:val="1"/>
          <w:numId w:val="2"/>
        </w:numPr>
      </w:pPr>
      <w:r w:rsidRPr="00814213">
        <w:t xml:space="preserve">tylko kanałem </w:t>
      </w:r>
      <w:proofErr w:type="spellStart"/>
      <w:r w:rsidRPr="00814213">
        <w:t>webservice</w:t>
      </w:r>
      <w:proofErr w:type="spellEnd"/>
      <w:r w:rsidRPr="00814213">
        <w:t xml:space="preserve"> – taka sama liczba komunikatów wysyłana w obu kierunkach,</w:t>
      </w:r>
    </w:p>
    <w:p w14:paraId="6CA16D18" w14:textId="77777777" w:rsidR="00C91FC9" w:rsidRPr="00814213" w:rsidRDefault="00C91FC9" w:rsidP="00C91FC9">
      <w:pPr>
        <w:pStyle w:val="Akapitzlist"/>
        <w:numPr>
          <w:ilvl w:val="1"/>
          <w:numId w:val="2"/>
        </w:numPr>
      </w:pPr>
      <w:r w:rsidRPr="00814213">
        <w:t>tylko kanałem wizualnym - tylko w kierunku od użytkownika zewnętrznego do SEAP,</w:t>
      </w:r>
    </w:p>
    <w:p w14:paraId="07E32F87" w14:textId="77777777" w:rsidR="00C91FC9" w:rsidRPr="00814213" w:rsidRDefault="00C91FC9" w:rsidP="00C91FC9">
      <w:pPr>
        <w:pStyle w:val="Akapitzlist"/>
        <w:numPr>
          <w:ilvl w:val="1"/>
          <w:numId w:val="2"/>
        </w:numPr>
      </w:pPr>
      <w:r w:rsidRPr="00814213">
        <w:t>tylko kanałem email - tylko w kierunku od użytkownika zewnętrznego do SEAP,</w:t>
      </w:r>
    </w:p>
    <w:p w14:paraId="31A3009F" w14:textId="77777777" w:rsidR="00C91FC9" w:rsidRPr="00814213" w:rsidRDefault="00C91FC9" w:rsidP="00C91FC9">
      <w:pPr>
        <w:pStyle w:val="Akapitzlist"/>
        <w:numPr>
          <w:ilvl w:val="1"/>
          <w:numId w:val="2"/>
        </w:numPr>
      </w:pPr>
      <w:r w:rsidRPr="00814213">
        <w:t xml:space="preserve">kanałem </w:t>
      </w:r>
      <w:proofErr w:type="spellStart"/>
      <w:r w:rsidRPr="00814213">
        <w:t>webservice</w:t>
      </w:r>
      <w:proofErr w:type="spellEnd"/>
      <w:r w:rsidRPr="00814213">
        <w:t>, email oraz kanałem wizualnym w proporcji 12:7:1 – tylko w kierunku od użytkownika zewnętrznego do SEAP,</w:t>
      </w:r>
    </w:p>
    <w:p w14:paraId="555B9E8A" w14:textId="77777777" w:rsidR="00C91FC9" w:rsidRPr="00814213" w:rsidRDefault="00C91FC9" w:rsidP="00C91FC9">
      <w:pPr>
        <w:pStyle w:val="Akapitzlist"/>
        <w:numPr>
          <w:ilvl w:val="0"/>
          <w:numId w:val="6"/>
        </w:numPr>
      </w:pPr>
      <w:r w:rsidRPr="00814213">
        <w:t xml:space="preserve">przy jednoczesnej pracy do 3000 Użytkowników zalogowanych do zewnętrznego Portalu PUESC oraz do 100 Użytkowników wewnętrznych zalogowanych do wewnętrznego Portalu PUESC oraz przy zapewnieniu czasów odpowiedzi dla 95 </w:t>
      </w:r>
      <w:proofErr w:type="spellStart"/>
      <w:r w:rsidRPr="00814213">
        <w:t>centyla</w:t>
      </w:r>
      <w:proofErr w:type="spellEnd"/>
      <w:r w:rsidRPr="00814213">
        <w:t xml:space="preserve">: </w:t>
      </w:r>
    </w:p>
    <w:p w14:paraId="36DDF89D" w14:textId="77777777" w:rsidR="00C91FC9" w:rsidRPr="00814213" w:rsidRDefault="00C91FC9" w:rsidP="00C91FC9">
      <w:pPr>
        <w:pStyle w:val="Akapitzlist"/>
        <w:numPr>
          <w:ilvl w:val="1"/>
          <w:numId w:val="6"/>
        </w:numPr>
      </w:pPr>
      <w:r w:rsidRPr="00814213">
        <w:t xml:space="preserve">do 3 sekund dla kanałów niewizualnych (wysłanie przez SEAP synchronicznej odpowiedzi na przyjęty komunikat zawierającej identyfikator </w:t>
      </w:r>
      <w:proofErr w:type="spellStart"/>
      <w:r w:rsidRPr="00814213">
        <w:t>SysRef</w:t>
      </w:r>
      <w:proofErr w:type="spellEnd"/>
      <w:r w:rsidRPr="00814213">
        <w:t>),</w:t>
      </w:r>
    </w:p>
    <w:p w14:paraId="7C9768C3" w14:textId="77777777" w:rsidR="00C91FC9" w:rsidRPr="00814213" w:rsidRDefault="00C91FC9" w:rsidP="00C91FC9">
      <w:pPr>
        <w:pStyle w:val="Akapitzlist"/>
        <w:numPr>
          <w:ilvl w:val="1"/>
          <w:numId w:val="6"/>
        </w:numPr>
      </w:pPr>
      <w:r w:rsidRPr="00814213">
        <w:t>do 6 sekund dla kanału wizualnego (od wykonania akcji wysłania dokumentu do wyświetlenia okienka z potwierdzeniem wysłania)</w:t>
      </w:r>
    </w:p>
    <w:p w14:paraId="579AF6DA" w14:textId="77777777" w:rsidR="00C91FC9" w:rsidRPr="00814213" w:rsidRDefault="00C91FC9" w:rsidP="00C91FC9">
      <w:pPr>
        <w:ind w:left="709"/>
      </w:pPr>
      <w:r w:rsidRPr="00814213">
        <w:t>oraz przy zachowaniu czasu przetworzenia i przesłania komunikatu przez System do 3 sekund.</w:t>
      </w:r>
    </w:p>
    <w:p w14:paraId="6EFCE654" w14:textId="77777777" w:rsidR="00C91FC9" w:rsidRPr="00814213" w:rsidRDefault="00C91FC9" w:rsidP="00C91FC9">
      <w:r w:rsidRPr="00814213">
        <w:t>Przez stabilne przetwarzanie komunikatów rozumie się uzyskanie stanu ustalonego, w którym nie następuje:</w:t>
      </w:r>
    </w:p>
    <w:p w14:paraId="771D1C3F" w14:textId="77777777" w:rsidR="00C91FC9" w:rsidRPr="00814213" w:rsidRDefault="00C91FC9" w:rsidP="00C91FC9">
      <w:pPr>
        <w:pStyle w:val="Akapitzlist"/>
        <w:numPr>
          <w:ilvl w:val="0"/>
          <w:numId w:val="2"/>
        </w:numPr>
      </w:pPr>
      <w:r w:rsidRPr="00814213">
        <w:t>narastanie kolejek procesów do wykonania,</w:t>
      </w:r>
    </w:p>
    <w:p w14:paraId="32D1A748" w14:textId="77777777" w:rsidR="00C91FC9" w:rsidRPr="00814213" w:rsidRDefault="00C91FC9" w:rsidP="00C91FC9">
      <w:pPr>
        <w:pStyle w:val="Akapitzlist"/>
        <w:numPr>
          <w:ilvl w:val="0"/>
          <w:numId w:val="2"/>
        </w:numPr>
      </w:pPr>
      <w:r w:rsidRPr="00814213">
        <w:t>przeciążanie, które powoduje nieprawidłowe wykonywanie się procesów,</w:t>
      </w:r>
    </w:p>
    <w:p w14:paraId="300B3B84" w14:textId="77777777" w:rsidR="00C91FC9" w:rsidRPr="00814213" w:rsidRDefault="00C91FC9" w:rsidP="00C91FC9">
      <w:pPr>
        <w:pStyle w:val="Akapitzlist"/>
        <w:numPr>
          <w:ilvl w:val="0"/>
          <w:numId w:val="2"/>
        </w:numPr>
      </w:pPr>
      <w:r w:rsidRPr="00814213">
        <w:t>wydłużanie czasu przetworzenia i przesłania komunikatu przez System powyżej 3 sekund,</w:t>
      </w:r>
    </w:p>
    <w:p w14:paraId="39F6FFEF" w14:textId="77777777" w:rsidR="00C91FC9" w:rsidRPr="00814213" w:rsidRDefault="00C91FC9" w:rsidP="00C91FC9">
      <w:pPr>
        <w:pStyle w:val="Akapitzlist"/>
        <w:numPr>
          <w:ilvl w:val="0"/>
          <w:numId w:val="2"/>
        </w:numPr>
      </w:pPr>
      <w:r w:rsidRPr="00814213">
        <w:t>przeciążanie/awaria dowolnego komponentu systemu.</w:t>
      </w:r>
    </w:p>
    <w:p w14:paraId="53C54A84" w14:textId="77777777" w:rsidR="00C91FC9" w:rsidRPr="00814213" w:rsidRDefault="00C91FC9" w:rsidP="00C91FC9">
      <w:r w:rsidRPr="00814213">
        <w:t>Test wydajności obejmuje tylko przepływ komunikatów przez komponenty Systemu bez udziału zintegrowanych z SEAP systemów wspomagających.</w:t>
      </w:r>
    </w:p>
    <w:p w14:paraId="52C889DC" w14:textId="77777777" w:rsidR="00C91FC9" w:rsidRPr="00814213" w:rsidRDefault="00C91FC9" w:rsidP="00C91FC9">
      <w:r w:rsidRPr="00814213">
        <w:t>Zamawiający zastrzega sobie prawo do aktywnego udziału w testach wydajności. Zamawiający wymaga interpretacji otrzymanych wyników testów w odniesieniu do parametrów pracy Systemu (m.in. takimi jak CPU, RAM, dyski, interfejsy sieciowe), na którym były wykonywane testy. Parametry pracy Systemu gromadzone przez Zamawiającego zostaną przekazane Wykonawcy.</w:t>
      </w:r>
    </w:p>
    <w:p w14:paraId="725DA9F1" w14:textId="77777777" w:rsidR="00C91FC9" w:rsidRPr="00814213" w:rsidRDefault="00C91FC9" w:rsidP="00C91FC9">
      <w:r w:rsidRPr="00814213">
        <w:lastRenderedPageBreak/>
        <w:t xml:space="preserve">Pomiary muszą być powtórzone wielokrotnie z uwzględnieniem stopniowego zwiększania liczby komunikatów na sekundę. Celem stopniowego zwiększania obciążania jest określenie liczby komunikatów na sekundę, które są przetwarzane stabilnie w systemie oraz określenie parametrów pracy systemu podczas stopniowego zwiększania oraz w sytuacji przeciążenia. Czas trwania pojedynczego testu pomiarowego musi być uzgodniony z Zamawiającym. Przygotowane </w:t>
      </w:r>
      <w:proofErr w:type="spellStart"/>
      <w:r w:rsidRPr="00814213">
        <w:t>Testalia</w:t>
      </w:r>
      <w:proofErr w:type="spellEnd"/>
      <w:r w:rsidRPr="00814213">
        <w:t xml:space="preserve"> do testu wydajnościowego powinny być </w:t>
      </w:r>
      <w:proofErr w:type="spellStart"/>
      <w:r w:rsidRPr="00814213">
        <w:t>reużywalne</w:t>
      </w:r>
      <w:proofErr w:type="spellEnd"/>
      <w:r w:rsidRPr="00814213">
        <w:t xml:space="preserve"> i wykorzystywane przy następnym wykonaniu testu pomiarowego.</w:t>
      </w:r>
    </w:p>
    <w:p w14:paraId="0E4D6768" w14:textId="77777777" w:rsidR="00C91FC9" w:rsidRPr="00814213" w:rsidRDefault="00C91FC9" w:rsidP="00C91FC9">
      <w:r w:rsidRPr="00814213">
        <w:t xml:space="preserve">Wykonawca jest zobowiązany w ramach realizacji zadania WP-1 do przekazania Zamawiającemu Skryptów, Danych testowych oraz innych </w:t>
      </w:r>
      <w:proofErr w:type="spellStart"/>
      <w:r w:rsidRPr="00814213">
        <w:t>Testaliów</w:t>
      </w:r>
      <w:proofErr w:type="spellEnd"/>
      <w:r w:rsidRPr="00814213">
        <w:t xml:space="preserve">, które zostały wytworzone przez Wykonawcę i są niezbędne do przeprowadzenia testów wydajnościowych. </w:t>
      </w:r>
    </w:p>
    <w:p w14:paraId="4A84C723" w14:textId="77777777" w:rsidR="00C91FC9" w:rsidRPr="00814213" w:rsidRDefault="00C91FC9" w:rsidP="00C91FC9">
      <w:pPr>
        <w:pStyle w:val="Nagwek1"/>
      </w:pPr>
      <w:r w:rsidRPr="00814213">
        <w:t>Szczegóły zadania WP-2</w:t>
      </w:r>
    </w:p>
    <w:p w14:paraId="62D8790E" w14:textId="77777777" w:rsidR="00C91FC9" w:rsidRPr="00814213" w:rsidRDefault="00C91FC9" w:rsidP="00C91FC9">
      <w:r w:rsidRPr="00814213">
        <w:t>Dostępność cyfrowa portalu PUESC.</w:t>
      </w:r>
    </w:p>
    <w:p w14:paraId="25A90B25" w14:textId="77777777" w:rsidR="00C91FC9" w:rsidRPr="00814213" w:rsidRDefault="00C91FC9" w:rsidP="00C91FC9">
      <w:r w:rsidRPr="00814213">
        <w:t>Celem realizacji wymagania jest zapewnienie dostępności cyfrowej portalu PUESC, w tym GUI użytkownika wewnętrznego i dokumentów generowanych w systemie.</w:t>
      </w:r>
    </w:p>
    <w:p w14:paraId="611D43FC" w14:textId="77777777" w:rsidR="00C91FC9" w:rsidRPr="00814213" w:rsidRDefault="00C91FC9" w:rsidP="00C91FC9">
      <w:r w:rsidRPr="00814213">
        <w:t>Wszystkie komponenty Systemu SEAP (również te dla użytkownika wewnętrznego) oraz wszystkie dokumenty przygotowane i wysyłane do użytkowników zewnętrznych i wewnętrznych z Systemu SEAP objęte zamówieniem muszą być dostępne cyfrowo to jest uwzględniać wymagania ustawy z dnia 4 kwietnia 2019 r. o dostępności cyfrowej stron internetowych i aplikacji mobilnych podmiotów publicznych.</w:t>
      </w:r>
    </w:p>
    <w:p w14:paraId="3AC60791" w14:textId="77777777" w:rsidR="00C91FC9" w:rsidRPr="00814213" w:rsidRDefault="00C91FC9" w:rsidP="00C91FC9">
      <w:pPr>
        <w:pStyle w:val="Nagwek2"/>
      </w:pPr>
      <w:r w:rsidRPr="00814213">
        <w:t>GUI Użytkownika zewnętrznego</w:t>
      </w:r>
    </w:p>
    <w:p w14:paraId="5A1D2A87" w14:textId="77777777" w:rsidR="00C91FC9" w:rsidRPr="00814213" w:rsidRDefault="00C91FC9" w:rsidP="00C91FC9">
      <w:r w:rsidRPr="00814213">
        <w:t>Wymagania w zakresie GUI Użytkownika zewnętrznego Systemu SEAP (portalu PUESC):</w:t>
      </w:r>
    </w:p>
    <w:p w14:paraId="2BF5699E" w14:textId="77777777" w:rsidR="00C91FC9" w:rsidRPr="00814213" w:rsidRDefault="00C91FC9" w:rsidP="00C91FC9">
      <w:pPr>
        <w:pStyle w:val="Akapitzlist"/>
        <w:numPr>
          <w:ilvl w:val="0"/>
          <w:numId w:val="8"/>
        </w:numPr>
      </w:pPr>
      <w:r w:rsidRPr="00814213">
        <w:t>GUI Użytkownika zewnętrznego Systemu SEAP jest obecnie dostępne cyfrowo i jego dostępność musi zostać utrzymana przez cały czas realizacji umowy.</w:t>
      </w:r>
    </w:p>
    <w:p w14:paraId="00E18D72" w14:textId="77777777" w:rsidR="00C91FC9" w:rsidRPr="00814213" w:rsidRDefault="00C91FC9" w:rsidP="00C91FC9">
      <w:pPr>
        <w:pStyle w:val="Akapitzlist"/>
        <w:numPr>
          <w:ilvl w:val="0"/>
          <w:numId w:val="8"/>
        </w:numPr>
      </w:pPr>
      <w:r w:rsidRPr="00814213">
        <w:t xml:space="preserve">Wykonawca ma obowiązek przeprowadzać okresowe badania WCAG na żądanie Zamawiającego, nie częściej niż jeden raz w okresie rozliczeniowym, w celu zbadania braku negatywnego wpływu wprowadzanych zmian w systemie w związku z realizacją wymagań na dostępność cyfrową portalu PUESC. Wykonawca musi również uwzględnić wyniki badania, które może zostać przeprowadzone przez Zamawiającego. Podczas realizacji tego zadania Wykonawca zobowiązany jest przeprowadzić samodzielne badanie dostępności cyfrowej GUI Użytkownika zewnętrznego portalu PUESC i </w:t>
      </w:r>
      <w:r w:rsidRPr="00814213">
        <w:lastRenderedPageBreak/>
        <w:t>wyniki tego badania przedstawić do akceptacji Zamawiającego. Wykonawca ma obowiązek zamieścić w raporcie z badania wkład niezbędny do uzupełnienia deklaracji dostępności Portalu PUESC. Oba badania (Wykonawcy i Zamawiającego) muszą być uwzględnione w czasie korekty dostępności cyfrowej GUI Użytkownika wewnętrznego Systemu SEAP (portalu PUESC).</w:t>
      </w:r>
    </w:p>
    <w:p w14:paraId="67FC06FC" w14:textId="77777777" w:rsidR="00C91FC9" w:rsidRPr="00814213" w:rsidRDefault="00C91FC9" w:rsidP="00C91FC9">
      <w:pPr>
        <w:pStyle w:val="Akapitzlist"/>
        <w:numPr>
          <w:ilvl w:val="0"/>
          <w:numId w:val="8"/>
        </w:numPr>
      </w:pPr>
      <w:r w:rsidRPr="00814213">
        <w:t>Błędy dostępności cyfrowej GUI Użytkownika zewnętrznego Systemu SEAP (portalu PUESC) muszą zostać naprawione, a w przypadku błędów, które ze względu na uwarunkowania technologiczne nie będą mogły być usunięte, Wykonawca wystąpi z uzasadnionym wnioskiem do zamawiającego o zgodę na odstępstwo.</w:t>
      </w:r>
    </w:p>
    <w:p w14:paraId="4AA4D0B5" w14:textId="77777777" w:rsidR="00C91FC9" w:rsidRPr="00814213" w:rsidRDefault="00C91FC9" w:rsidP="00C91FC9">
      <w:pPr>
        <w:pStyle w:val="Akapitzlist"/>
        <w:numPr>
          <w:ilvl w:val="0"/>
          <w:numId w:val="8"/>
        </w:numPr>
      </w:pPr>
      <w:r w:rsidRPr="00814213">
        <w:t>Po naprawie systemu Wykonawca przeprowadzi ponowne badanie w celu określenia zgodności z wymogami dostępności cyfrowej. Raport z badania zostanie przekazany do akceptacji Zamawiającego.</w:t>
      </w:r>
    </w:p>
    <w:p w14:paraId="2FE788EB" w14:textId="77777777" w:rsidR="00C91FC9" w:rsidRPr="00814213" w:rsidRDefault="00C91FC9" w:rsidP="00C91FC9">
      <w:r w:rsidRPr="00814213">
        <w:t xml:space="preserve">Wykonawca jest zobowiązany do zapewnienia dostępności cyfrowej UI </w:t>
      </w:r>
      <w:proofErr w:type="spellStart"/>
      <w:r w:rsidRPr="00814213">
        <w:t>Orbeona</w:t>
      </w:r>
      <w:proofErr w:type="spellEnd"/>
      <w:r w:rsidRPr="00814213">
        <w:t>, które są wykorzystywane przez inne systemy przy budowie formularzy, oraz wymagań ujętych w Specyfikacji Komponentu Komunikacyjnego.</w:t>
      </w:r>
    </w:p>
    <w:p w14:paraId="607C7F0E" w14:textId="77777777" w:rsidR="00C91FC9" w:rsidRPr="00814213" w:rsidRDefault="00C91FC9" w:rsidP="00C91FC9">
      <w:pPr>
        <w:pStyle w:val="Nagwek2"/>
      </w:pPr>
      <w:r w:rsidRPr="00814213">
        <w:t>GUI Użytkownika wewnętrznego</w:t>
      </w:r>
    </w:p>
    <w:p w14:paraId="23231434" w14:textId="77777777" w:rsidR="00C91FC9" w:rsidRPr="00814213" w:rsidRDefault="00C91FC9" w:rsidP="00C91FC9">
      <w:r w:rsidRPr="00814213">
        <w:t>Wymagania w zakresie GUI Użytkownika wewnętrznego Systemu SEAP:</w:t>
      </w:r>
    </w:p>
    <w:p w14:paraId="13CAD9BF" w14:textId="77777777" w:rsidR="00C91FC9" w:rsidRPr="00814213" w:rsidRDefault="00C91FC9" w:rsidP="00C91FC9">
      <w:pPr>
        <w:pStyle w:val="Akapitzlist"/>
        <w:numPr>
          <w:ilvl w:val="0"/>
          <w:numId w:val="9"/>
        </w:numPr>
      </w:pPr>
      <w:r w:rsidRPr="00814213">
        <w:t xml:space="preserve">GUI Użytkownika wewnętrznego Systemu SEAP musi zostać dostosowane do wymogów dostępności cyfrowej to jest uwzględniać wymagania ustawy z dnia 4 kwietnia 2019 r. o dostępności cyfrowej stron internetowych i aplikacji mobilnych podmiotów publicznych. </w:t>
      </w:r>
    </w:p>
    <w:p w14:paraId="68103978" w14:textId="77777777" w:rsidR="00C91FC9" w:rsidRPr="00814213" w:rsidRDefault="00C91FC9" w:rsidP="00C91FC9">
      <w:pPr>
        <w:pStyle w:val="Akapitzlist"/>
        <w:numPr>
          <w:ilvl w:val="0"/>
          <w:numId w:val="9"/>
        </w:numPr>
      </w:pPr>
      <w:r w:rsidRPr="00814213">
        <w:t xml:space="preserve">Wykonawca ma obowiązek uwzględnić wyniki badania przeprowadzonego przez Zamawiającego w zakresie oceny stanu dostępności cyfrowej - Raport z audytu dostępności cyfrowej Interfejsu dla użytkowników wewnętrznych. Uzyskane wyniki należy odnieść do całego systemu. Podczas realizacji tego zadania Wykonawca zobowiązany jest przeprowadzić samodzielne wstępne 2-etapowe (automatyczne, eksperckie) badanie dostępności cyfrowej GUI Użytkownika wewnętrznego Systemu SEAP i wyniki tego badania przedstawić do akceptacji Zamawiającego. Oba badania muszą być uwzględnione w czasie korekty dostępności cyfrowej GUI Użytkownika wewnętrznego Systemu SEAP. </w:t>
      </w:r>
    </w:p>
    <w:p w14:paraId="51799C91" w14:textId="77777777" w:rsidR="00C91FC9" w:rsidRPr="00814213" w:rsidRDefault="00C91FC9" w:rsidP="00C91FC9">
      <w:pPr>
        <w:pStyle w:val="Akapitzlist"/>
        <w:numPr>
          <w:ilvl w:val="0"/>
          <w:numId w:val="9"/>
        </w:numPr>
      </w:pPr>
      <w:r w:rsidRPr="00814213">
        <w:t xml:space="preserve">Po przeprowadzeniu działań naprawczych Wykonawca potwierdzi usunięcie błędów poprzez ponowne 2-etapowe (automatyczne, eksperckie) badanie dostępności cyfrowej GUI Użytkownika wewnętrznego Systemu SEAP i wyniki tego badania przedstawić do akceptacji Zamawiającego. </w:t>
      </w:r>
    </w:p>
    <w:p w14:paraId="417836B3" w14:textId="77777777" w:rsidR="00C91FC9" w:rsidRPr="00814213" w:rsidRDefault="00C91FC9" w:rsidP="00C91FC9">
      <w:pPr>
        <w:pStyle w:val="Akapitzlist"/>
        <w:numPr>
          <w:ilvl w:val="0"/>
          <w:numId w:val="9"/>
        </w:numPr>
      </w:pPr>
      <w:r w:rsidRPr="00814213">
        <w:t xml:space="preserve">Błędy dostępności cyfrowej GUI Użytkownika wewnętrznego Systemu SEAP muszą zostać naprawione, a w przypadku błędów, które ze względu na </w:t>
      </w:r>
      <w:r w:rsidRPr="00814213">
        <w:lastRenderedPageBreak/>
        <w:t>uwarunkowania technologiczne nie będą mogły być usunięte, Wykonawca wystąpi z uzasadnionym wnioskiem do zamawiającego o zgodę na odstępstwo.</w:t>
      </w:r>
    </w:p>
    <w:p w14:paraId="3BD74A91" w14:textId="77777777" w:rsidR="00C91FC9" w:rsidRPr="00814213" w:rsidRDefault="00C91FC9" w:rsidP="00C91FC9">
      <w:pPr>
        <w:pStyle w:val="Akapitzlist"/>
        <w:numPr>
          <w:ilvl w:val="0"/>
          <w:numId w:val="9"/>
        </w:numPr>
      </w:pPr>
      <w:r w:rsidRPr="00814213">
        <w:t>Do czasu określonego w załączniku nr 2 na realizację tego zadania, Wykonawca realizując inne zadania zwolniony jest z kryterium zapewnienia dostępności GUI Użytkownika wewnętrznego Systemu SEAP. Wszystkie kolejne zmiany w GUI Użytkownika wewnętrznego Systemu SEAP muszą być już realizowane z zachowaniem zasad dostępności cyfrowej.</w:t>
      </w:r>
    </w:p>
    <w:p w14:paraId="4D5478D6" w14:textId="77777777" w:rsidR="00C91FC9" w:rsidRPr="00814213" w:rsidRDefault="00C91FC9" w:rsidP="00C91FC9">
      <w:pPr>
        <w:pStyle w:val="Nagwek2"/>
      </w:pPr>
      <w:r w:rsidRPr="00814213">
        <w:t>Dokumenty wysyłane z systemu SEAP</w:t>
      </w:r>
    </w:p>
    <w:p w14:paraId="3CAC939E" w14:textId="77777777" w:rsidR="00C91FC9" w:rsidRPr="00814213" w:rsidRDefault="00C91FC9" w:rsidP="00C91FC9">
      <w:r w:rsidRPr="00814213">
        <w:t>Wymagania w zakresie dokumentów wysyłanych z systemu SEAP:</w:t>
      </w:r>
    </w:p>
    <w:p w14:paraId="43A7E120" w14:textId="77777777" w:rsidR="00C91FC9" w:rsidRPr="00814213" w:rsidRDefault="00C91FC9" w:rsidP="00C91FC9">
      <w:pPr>
        <w:pStyle w:val="Akapitzlist"/>
        <w:numPr>
          <w:ilvl w:val="0"/>
          <w:numId w:val="7"/>
        </w:numPr>
      </w:pPr>
      <w:r w:rsidRPr="00814213">
        <w:t>Wszystkie nowe wizualizacje dokumentów oraz ich transformaty do formy dokumentów (np. PDF, DOC, DOCX, XLS, XLSX) muszą być realizowane zgodnie z wymogi dostępności cyfrowej oraz z zachowaniem wytycznych Zamawiającego w zakresie wizualizacji.</w:t>
      </w:r>
    </w:p>
    <w:p w14:paraId="1A746277" w14:textId="77777777" w:rsidR="00C91FC9" w:rsidRPr="00814213" w:rsidRDefault="00C91FC9" w:rsidP="00C91FC9">
      <w:pPr>
        <w:pStyle w:val="Nagwek1"/>
      </w:pPr>
      <w:r w:rsidRPr="00814213">
        <w:t>Szczegóły zadania WP-3</w:t>
      </w:r>
    </w:p>
    <w:p w14:paraId="7DF240E6" w14:textId="77777777" w:rsidR="00C91FC9" w:rsidRPr="00814213" w:rsidRDefault="00C91FC9" w:rsidP="00C91FC9">
      <w:r w:rsidRPr="00814213">
        <w:t>Opracowanie dokumentacji systemu SEAP według nowych szablonów.</w:t>
      </w:r>
    </w:p>
    <w:p w14:paraId="51B0B74F" w14:textId="77777777" w:rsidR="00C91FC9" w:rsidRPr="00814213" w:rsidRDefault="00C91FC9" w:rsidP="00C91FC9">
      <w:r w:rsidRPr="00814213">
        <w:t>Celem zadania jest opracowanie dokumentacji Systemu SEAP w oparciu o nowe szablony dokumentów, w tym opracowane w ramach Procedury Wytwarzania Oprogramowania (PWO).</w:t>
      </w:r>
    </w:p>
    <w:p w14:paraId="03752001" w14:textId="77777777" w:rsidR="00C91FC9" w:rsidRPr="00814213" w:rsidRDefault="00C91FC9" w:rsidP="00C91FC9">
      <w:r w:rsidRPr="00814213">
        <w:t>Wykonawca jest zobowiązany dostarczyć kompletną dokumentację Systemu uwzględniającą stan aktualny na dzień rozpoczęcia zadania WP-3 wytworzoną na podstawie szablonów dokumentów dostarczonych przez Zamawiającego, w tym opracowanych w ramach Procedury Wytwarzania Oprogramowania (PWO). PWO stanowi załącznik nr 14 do OPZ. W przypadku późniejszej aktualizacji PWO wraz z szablonami dokumentów, Wykonawca jest zobowiązany do opracowania dokumentacji systemu wg. szablonów dokumentów z wersji PWO, która obowiązywała w dniu rozpoczęcia zadania WP-3.</w:t>
      </w:r>
    </w:p>
    <w:p w14:paraId="3F5972B9" w14:textId="77777777" w:rsidR="00C91FC9" w:rsidRPr="00814213" w:rsidRDefault="00C91FC9" w:rsidP="00C91FC9">
      <w:r w:rsidRPr="00814213">
        <w:t>Obecnie dokumentacja Systemu jest wytworzona według szablonów:</w:t>
      </w:r>
    </w:p>
    <w:p w14:paraId="6592EB10" w14:textId="77777777" w:rsidR="00C91FC9" w:rsidRPr="00814213" w:rsidRDefault="00C91FC9" w:rsidP="00C91FC9">
      <w:pPr>
        <w:pStyle w:val="Akapitzlist"/>
        <w:numPr>
          <w:ilvl w:val="0"/>
          <w:numId w:val="7"/>
        </w:numPr>
      </w:pPr>
      <w:r w:rsidRPr="00814213">
        <w:t>Specyfikacja Procesów Biznesowych</w:t>
      </w:r>
    </w:p>
    <w:p w14:paraId="5050A612" w14:textId="77777777" w:rsidR="00C91FC9" w:rsidRPr="00814213" w:rsidRDefault="00C91FC9" w:rsidP="00C91FC9">
      <w:pPr>
        <w:pStyle w:val="Akapitzlist"/>
        <w:numPr>
          <w:ilvl w:val="0"/>
          <w:numId w:val="7"/>
        </w:numPr>
      </w:pPr>
      <w:r w:rsidRPr="00814213">
        <w:t>Specyfikacja Wymagań Systemu Informatycznego</w:t>
      </w:r>
    </w:p>
    <w:p w14:paraId="40FFD189" w14:textId="77777777" w:rsidR="00C91FC9" w:rsidRPr="00814213" w:rsidRDefault="00C91FC9" w:rsidP="00C91FC9">
      <w:pPr>
        <w:pStyle w:val="Akapitzlist"/>
        <w:numPr>
          <w:ilvl w:val="0"/>
          <w:numId w:val="7"/>
        </w:numPr>
      </w:pPr>
      <w:r w:rsidRPr="00814213">
        <w:t>Mapa Wymagań Systemu</w:t>
      </w:r>
    </w:p>
    <w:p w14:paraId="31165C2C" w14:textId="77777777" w:rsidR="00C91FC9" w:rsidRPr="00814213" w:rsidRDefault="00C91FC9" w:rsidP="00C91FC9">
      <w:pPr>
        <w:pStyle w:val="Akapitzlist"/>
        <w:numPr>
          <w:ilvl w:val="0"/>
          <w:numId w:val="7"/>
        </w:numPr>
      </w:pPr>
      <w:r w:rsidRPr="00814213">
        <w:t>Projekt Infrastruktury Teleinformatycznej Systemu</w:t>
      </w:r>
    </w:p>
    <w:p w14:paraId="41DAD0F0" w14:textId="77777777" w:rsidR="00C91FC9" w:rsidRPr="00814213" w:rsidRDefault="00C91FC9" w:rsidP="00C91FC9">
      <w:pPr>
        <w:pStyle w:val="Akapitzlist"/>
        <w:numPr>
          <w:ilvl w:val="0"/>
          <w:numId w:val="7"/>
        </w:numPr>
      </w:pPr>
      <w:r w:rsidRPr="00814213">
        <w:t>Projekt Realizacji Systemu Informatycznego</w:t>
      </w:r>
    </w:p>
    <w:p w14:paraId="028E4F93" w14:textId="77777777" w:rsidR="00C91FC9" w:rsidRPr="00814213" w:rsidRDefault="00C91FC9" w:rsidP="00C91FC9">
      <w:pPr>
        <w:pStyle w:val="Akapitzlist"/>
        <w:numPr>
          <w:ilvl w:val="0"/>
          <w:numId w:val="7"/>
        </w:numPr>
      </w:pPr>
      <w:r w:rsidRPr="00814213">
        <w:t>Projekt Interfejsu Użytkownika</w:t>
      </w:r>
    </w:p>
    <w:p w14:paraId="288F5959" w14:textId="77777777" w:rsidR="00C91FC9" w:rsidRPr="00814213" w:rsidRDefault="00C91FC9" w:rsidP="00C91FC9">
      <w:pPr>
        <w:pStyle w:val="Akapitzlist"/>
        <w:numPr>
          <w:ilvl w:val="0"/>
          <w:numId w:val="7"/>
        </w:numPr>
      </w:pPr>
      <w:r w:rsidRPr="00814213">
        <w:t>Plan integracji Systemu</w:t>
      </w:r>
    </w:p>
    <w:p w14:paraId="1E6385DA" w14:textId="77777777" w:rsidR="00C91FC9" w:rsidRPr="00814213" w:rsidRDefault="00C91FC9" w:rsidP="00C91FC9">
      <w:pPr>
        <w:pStyle w:val="Akapitzlist"/>
        <w:numPr>
          <w:ilvl w:val="0"/>
          <w:numId w:val="7"/>
        </w:numPr>
      </w:pPr>
      <w:r w:rsidRPr="00814213">
        <w:lastRenderedPageBreak/>
        <w:t>Plan Wdrożenia Systemu</w:t>
      </w:r>
    </w:p>
    <w:p w14:paraId="6B12B07E" w14:textId="77777777" w:rsidR="00C91FC9" w:rsidRPr="00814213" w:rsidRDefault="00C91FC9" w:rsidP="00C91FC9">
      <w:pPr>
        <w:pStyle w:val="Akapitzlist"/>
        <w:numPr>
          <w:ilvl w:val="0"/>
          <w:numId w:val="7"/>
        </w:numPr>
      </w:pPr>
      <w:r w:rsidRPr="00814213">
        <w:t>Specyfikacja Migracji danych</w:t>
      </w:r>
    </w:p>
    <w:p w14:paraId="4709C9BC" w14:textId="77777777" w:rsidR="00C91FC9" w:rsidRPr="00814213" w:rsidRDefault="00C91FC9" w:rsidP="00C91FC9">
      <w:pPr>
        <w:pStyle w:val="Akapitzlist"/>
        <w:numPr>
          <w:ilvl w:val="0"/>
          <w:numId w:val="7"/>
        </w:numPr>
      </w:pPr>
      <w:r w:rsidRPr="00814213">
        <w:t>Dokumentacja Architektury Systemu Informatycznego</w:t>
      </w:r>
    </w:p>
    <w:p w14:paraId="5D8D03CB" w14:textId="77777777" w:rsidR="00C91FC9" w:rsidRPr="00814213" w:rsidRDefault="00C91FC9" w:rsidP="00C91FC9">
      <w:pPr>
        <w:pStyle w:val="Akapitzlist"/>
        <w:numPr>
          <w:ilvl w:val="0"/>
          <w:numId w:val="7"/>
        </w:numPr>
      </w:pPr>
      <w:r w:rsidRPr="00814213">
        <w:t>Podręcznik Administratora Systemu</w:t>
      </w:r>
    </w:p>
    <w:p w14:paraId="05D75C11" w14:textId="77777777" w:rsidR="00C91FC9" w:rsidRPr="00814213" w:rsidRDefault="00C91FC9" w:rsidP="00C91FC9">
      <w:pPr>
        <w:pStyle w:val="Akapitzlist"/>
        <w:numPr>
          <w:ilvl w:val="0"/>
          <w:numId w:val="7"/>
        </w:numPr>
      </w:pPr>
      <w:r w:rsidRPr="00814213">
        <w:t>Dokumentacja Bezpieczeństwa</w:t>
      </w:r>
    </w:p>
    <w:p w14:paraId="31F39912" w14:textId="77777777" w:rsidR="00C91FC9" w:rsidRPr="00814213" w:rsidRDefault="00C91FC9" w:rsidP="00C91FC9">
      <w:pPr>
        <w:pStyle w:val="Akapitzlist"/>
        <w:numPr>
          <w:ilvl w:val="0"/>
          <w:numId w:val="7"/>
        </w:numPr>
      </w:pPr>
      <w:r w:rsidRPr="00814213">
        <w:t>Pakiet Kodów Źródłowych</w:t>
      </w:r>
    </w:p>
    <w:p w14:paraId="69441769" w14:textId="77777777" w:rsidR="00C91FC9" w:rsidRPr="00814213" w:rsidRDefault="00C91FC9" w:rsidP="00C91FC9">
      <w:pPr>
        <w:pStyle w:val="Akapitzlist"/>
        <w:numPr>
          <w:ilvl w:val="0"/>
          <w:numId w:val="7"/>
        </w:numPr>
      </w:pPr>
      <w:r w:rsidRPr="00814213">
        <w:t>Opis Kontraktu Dla Usługi Udostępnianej na PI</w:t>
      </w:r>
    </w:p>
    <w:p w14:paraId="7443091C" w14:textId="77777777" w:rsidR="00C91FC9" w:rsidRPr="00814213" w:rsidRDefault="00C91FC9" w:rsidP="00C91FC9">
      <w:pPr>
        <w:pStyle w:val="Akapitzlist"/>
        <w:numPr>
          <w:ilvl w:val="0"/>
          <w:numId w:val="7"/>
        </w:numPr>
      </w:pPr>
      <w:r w:rsidRPr="00814213">
        <w:t>Podręcznik Użytkownika Systemu Informatycznego</w:t>
      </w:r>
    </w:p>
    <w:p w14:paraId="4AC15B93" w14:textId="77777777" w:rsidR="00C91FC9" w:rsidRPr="00814213" w:rsidRDefault="00C91FC9" w:rsidP="00C91FC9">
      <w:pPr>
        <w:pStyle w:val="Akapitzlist"/>
        <w:numPr>
          <w:ilvl w:val="0"/>
          <w:numId w:val="7"/>
        </w:numPr>
      </w:pPr>
      <w:r w:rsidRPr="00814213">
        <w:t>Plan Zarządzania Wymaganiami</w:t>
      </w:r>
    </w:p>
    <w:p w14:paraId="76E2FF86" w14:textId="77777777" w:rsidR="00C91FC9" w:rsidRPr="00814213" w:rsidRDefault="00C91FC9" w:rsidP="00C91FC9">
      <w:pPr>
        <w:pStyle w:val="Akapitzlist"/>
        <w:numPr>
          <w:ilvl w:val="0"/>
          <w:numId w:val="7"/>
        </w:numPr>
      </w:pPr>
      <w:r w:rsidRPr="00814213">
        <w:t>Plan Zarządzania Konfiguracją Oprogramowania</w:t>
      </w:r>
    </w:p>
    <w:p w14:paraId="7D71B1CF" w14:textId="77777777" w:rsidR="00C91FC9" w:rsidRPr="00814213" w:rsidRDefault="00C91FC9" w:rsidP="00C91FC9">
      <w:r w:rsidRPr="00814213">
        <w:t>System jest opisany w dokumentach:</w:t>
      </w:r>
    </w:p>
    <w:p w14:paraId="0DBF5567" w14:textId="77777777" w:rsidR="00C91FC9" w:rsidRPr="00814213" w:rsidRDefault="00C91FC9" w:rsidP="00C91FC9">
      <w:pPr>
        <w:pStyle w:val="Akapitzlist"/>
        <w:numPr>
          <w:ilvl w:val="0"/>
          <w:numId w:val="10"/>
        </w:numPr>
      </w:pPr>
      <w:r w:rsidRPr="00814213">
        <w:t xml:space="preserve">PUESCKUD_SEAP_CRKID - Specyfikacja Funkcjonalno-Techniczna </w:t>
      </w:r>
      <w:proofErr w:type="spellStart"/>
      <w:r w:rsidRPr="00814213">
        <w:t>CRKiD</w:t>
      </w:r>
      <w:proofErr w:type="spellEnd"/>
    </w:p>
    <w:p w14:paraId="003C05FF" w14:textId="77777777" w:rsidR="00C91FC9" w:rsidRPr="00814213" w:rsidRDefault="00C91FC9" w:rsidP="00C91FC9">
      <w:pPr>
        <w:pStyle w:val="Akapitzlist"/>
        <w:numPr>
          <w:ilvl w:val="0"/>
          <w:numId w:val="10"/>
        </w:numPr>
      </w:pPr>
      <w:r w:rsidRPr="00814213">
        <w:t xml:space="preserve">PUESCKUD_CRKID_IIS – Instrukcja Instalacji Systemu </w:t>
      </w:r>
      <w:proofErr w:type="spellStart"/>
      <w:r w:rsidRPr="00814213">
        <w:t>CRKiD</w:t>
      </w:r>
      <w:proofErr w:type="spellEnd"/>
    </w:p>
    <w:p w14:paraId="19BEB63F" w14:textId="77777777" w:rsidR="00C91FC9" w:rsidRPr="00814213" w:rsidRDefault="00C91FC9" w:rsidP="00C91FC9">
      <w:pPr>
        <w:pStyle w:val="Akapitzlist"/>
        <w:numPr>
          <w:ilvl w:val="0"/>
          <w:numId w:val="10"/>
        </w:numPr>
      </w:pPr>
      <w:r w:rsidRPr="00814213">
        <w:t>PUESCKUD_SEAP_IIS - Instrukcja Instalacji Systemu SEAP</w:t>
      </w:r>
    </w:p>
    <w:p w14:paraId="4462419D" w14:textId="77777777" w:rsidR="00C91FC9" w:rsidRPr="00814213" w:rsidRDefault="00C91FC9" w:rsidP="00C91FC9">
      <w:pPr>
        <w:pStyle w:val="Akapitzlist"/>
        <w:numPr>
          <w:ilvl w:val="0"/>
          <w:numId w:val="10"/>
        </w:numPr>
      </w:pPr>
      <w:r w:rsidRPr="00814213">
        <w:t xml:space="preserve">PUESCKUD_CRKID_PKZ - Pakiet Kodów Źródłowych </w:t>
      </w:r>
      <w:proofErr w:type="spellStart"/>
      <w:r w:rsidRPr="00814213">
        <w:t>CRKiD</w:t>
      </w:r>
      <w:proofErr w:type="spellEnd"/>
    </w:p>
    <w:p w14:paraId="087C0B1F" w14:textId="77777777" w:rsidR="00C91FC9" w:rsidRPr="00814213" w:rsidRDefault="00C91FC9" w:rsidP="00C91FC9">
      <w:pPr>
        <w:pStyle w:val="Akapitzlist"/>
        <w:numPr>
          <w:ilvl w:val="0"/>
          <w:numId w:val="10"/>
        </w:numPr>
      </w:pPr>
      <w:r w:rsidRPr="00814213">
        <w:t>PUESCKUD_SEAP_DAS - Dokumentacja Architektury Systemu Informatycznego</w:t>
      </w:r>
    </w:p>
    <w:p w14:paraId="19C35D36" w14:textId="77777777" w:rsidR="00C91FC9" w:rsidRPr="00814213" w:rsidRDefault="00C91FC9" w:rsidP="00C91FC9">
      <w:pPr>
        <w:pStyle w:val="Akapitzlist"/>
        <w:numPr>
          <w:ilvl w:val="0"/>
          <w:numId w:val="10"/>
        </w:numPr>
      </w:pPr>
      <w:r w:rsidRPr="00814213">
        <w:t xml:space="preserve">PUESCKUD_SEAP_IKM - SEAP Plus Instrukcja korzystania z Portalu dla wersji mobilnej </w:t>
      </w:r>
    </w:p>
    <w:p w14:paraId="76DB95E3" w14:textId="77777777" w:rsidR="00C91FC9" w:rsidRPr="00814213" w:rsidRDefault="00C91FC9" w:rsidP="00C91FC9">
      <w:pPr>
        <w:pStyle w:val="Akapitzlist"/>
        <w:numPr>
          <w:ilvl w:val="0"/>
          <w:numId w:val="10"/>
        </w:numPr>
      </w:pPr>
      <w:r w:rsidRPr="00814213">
        <w:t xml:space="preserve">PUESCKUD_SEAP_IKP - SEAP Plus Instrukcja korzystania z Portalu, </w:t>
      </w:r>
    </w:p>
    <w:p w14:paraId="61122B49" w14:textId="77777777" w:rsidR="00C91FC9" w:rsidRPr="00814213" w:rsidRDefault="00C91FC9" w:rsidP="00C91FC9">
      <w:pPr>
        <w:pStyle w:val="Akapitzlist"/>
        <w:numPr>
          <w:ilvl w:val="0"/>
          <w:numId w:val="10"/>
        </w:numPr>
      </w:pPr>
      <w:r w:rsidRPr="00814213">
        <w:t>PUESCKUD_SEAP_ITS - Projekt Infrastruktury Teleinformatycznej Systemu</w:t>
      </w:r>
    </w:p>
    <w:p w14:paraId="1113793F" w14:textId="77777777" w:rsidR="00C91FC9" w:rsidRPr="00814213" w:rsidRDefault="00C91FC9" w:rsidP="00C91FC9">
      <w:pPr>
        <w:pStyle w:val="Akapitzlist"/>
        <w:numPr>
          <w:ilvl w:val="0"/>
          <w:numId w:val="10"/>
        </w:numPr>
      </w:pPr>
      <w:r w:rsidRPr="00814213">
        <w:t>PUESCKUD_SEAP_PTS - Projekt Techniczny Systemu</w:t>
      </w:r>
    </w:p>
    <w:p w14:paraId="331F24AE" w14:textId="77777777" w:rsidR="00C91FC9" w:rsidRPr="00814213" w:rsidRDefault="00C91FC9" w:rsidP="00C91FC9">
      <w:pPr>
        <w:pStyle w:val="Akapitzlist"/>
        <w:numPr>
          <w:ilvl w:val="0"/>
          <w:numId w:val="10"/>
        </w:numPr>
      </w:pPr>
      <w:r w:rsidRPr="00814213">
        <w:t>PUESCKUD_SEAP_MDS - Model Danych Systemu</w:t>
      </w:r>
    </w:p>
    <w:p w14:paraId="4CCEE2EE" w14:textId="77777777" w:rsidR="00C91FC9" w:rsidRPr="00814213" w:rsidRDefault="00C91FC9" w:rsidP="00C91FC9">
      <w:pPr>
        <w:pStyle w:val="Akapitzlist"/>
        <w:numPr>
          <w:ilvl w:val="0"/>
          <w:numId w:val="10"/>
        </w:numPr>
      </w:pPr>
      <w:r w:rsidRPr="00814213">
        <w:t>PUESCKUD_SEAP_PAD - Podręcznik Administratora Dziedzinowego</w:t>
      </w:r>
    </w:p>
    <w:p w14:paraId="37E49562" w14:textId="77777777" w:rsidR="00C91FC9" w:rsidRPr="00814213" w:rsidRDefault="00C91FC9" w:rsidP="00C91FC9">
      <w:pPr>
        <w:pStyle w:val="Akapitzlist"/>
        <w:numPr>
          <w:ilvl w:val="0"/>
          <w:numId w:val="10"/>
        </w:numPr>
      </w:pPr>
      <w:r w:rsidRPr="00814213">
        <w:t>PUESCKUD_SEAP_PAT - Podręcznik Administratora Technicznego</w:t>
      </w:r>
    </w:p>
    <w:p w14:paraId="5743B108" w14:textId="77777777" w:rsidR="00C91FC9" w:rsidRPr="00814213" w:rsidRDefault="00C91FC9" w:rsidP="00C91FC9">
      <w:pPr>
        <w:pStyle w:val="Akapitzlist"/>
        <w:numPr>
          <w:ilvl w:val="0"/>
          <w:numId w:val="10"/>
        </w:numPr>
      </w:pPr>
      <w:r w:rsidRPr="00814213">
        <w:t>PUESCKUD_SEAP_PIS - Plan Integracji Systemu</w:t>
      </w:r>
    </w:p>
    <w:p w14:paraId="5AEB7757" w14:textId="77777777" w:rsidR="00C91FC9" w:rsidRPr="00814213" w:rsidRDefault="00C91FC9" w:rsidP="00C91FC9">
      <w:pPr>
        <w:pStyle w:val="Akapitzlist"/>
        <w:numPr>
          <w:ilvl w:val="0"/>
          <w:numId w:val="10"/>
        </w:numPr>
      </w:pPr>
      <w:r w:rsidRPr="00814213">
        <w:t>PUESCKUD_SEAP_PKZ - Pakiet Kodów Źródłowych SEAP</w:t>
      </w:r>
    </w:p>
    <w:p w14:paraId="164E32FA" w14:textId="77777777" w:rsidR="00C91FC9" w:rsidRPr="00814213" w:rsidRDefault="00C91FC9" w:rsidP="00C91FC9">
      <w:pPr>
        <w:pStyle w:val="Akapitzlist"/>
        <w:numPr>
          <w:ilvl w:val="0"/>
          <w:numId w:val="10"/>
        </w:numPr>
      </w:pPr>
      <w:r w:rsidRPr="00814213">
        <w:t>PUESCKUD_SEAP_POU - Podręcznik użytkownika systemu – Portal PUESC</w:t>
      </w:r>
    </w:p>
    <w:p w14:paraId="510669A6" w14:textId="77777777" w:rsidR="00C91FC9" w:rsidRPr="00814213" w:rsidRDefault="00C91FC9" w:rsidP="00C91FC9">
      <w:pPr>
        <w:pStyle w:val="Akapitzlist"/>
        <w:numPr>
          <w:ilvl w:val="0"/>
          <w:numId w:val="10"/>
        </w:numPr>
      </w:pPr>
      <w:r w:rsidRPr="00814213">
        <w:t>PUESCKUD_SEAP_PRS - Projekt Realizacji Systemu Informatycznego</w:t>
      </w:r>
    </w:p>
    <w:p w14:paraId="7E0FF46B" w14:textId="77777777" w:rsidR="00C91FC9" w:rsidRPr="00814213" w:rsidRDefault="00C91FC9" w:rsidP="00C91FC9">
      <w:pPr>
        <w:pStyle w:val="Akapitzlist"/>
        <w:numPr>
          <w:ilvl w:val="0"/>
          <w:numId w:val="10"/>
        </w:numPr>
      </w:pPr>
      <w:r w:rsidRPr="00814213">
        <w:t>PUESCKUD_SEAP_SPB - Specyfikacja Procesów Biznesowych</w:t>
      </w:r>
    </w:p>
    <w:p w14:paraId="4520BB62" w14:textId="77777777" w:rsidR="00C91FC9" w:rsidRPr="00814213" w:rsidRDefault="00C91FC9" w:rsidP="00C91FC9">
      <w:pPr>
        <w:pStyle w:val="Akapitzlist"/>
        <w:numPr>
          <w:ilvl w:val="0"/>
          <w:numId w:val="10"/>
        </w:numPr>
      </w:pPr>
      <w:r w:rsidRPr="00814213">
        <w:t>PUESCKUD_SEAP_ST - Scenariusze Testowe</w:t>
      </w:r>
    </w:p>
    <w:p w14:paraId="13C18B07" w14:textId="77777777" w:rsidR="00C91FC9" w:rsidRPr="00814213" w:rsidRDefault="00C91FC9" w:rsidP="00C91FC9">
      <w:pPr>
        <w:pStyle w:val="Akapitzlist"/>
        <w:numPr>
          <w:ilvl w:val="0"/>
          <w:numId w:val="10"/>
        </w:numPr>
      </w:pPr>
      <w:r w:rsidRPr="00814213">
        <w:t xml:space="preserve">PUESCKUD_SEAP_XML_PL - Specyfikacja Techniczna Publiczna PL, Public Technical </w:t>
      </w:r>
      <w:proofErr w:type="spellStart"/>
      <w:r w:rsidRPr="00814213">
        <w:t>Specification</w:t>
      </w:r>
      <w:proofErr w:type="spellEnd"/>
      <w:r w:rsidRPr="00814213">
        <w:t xml:space="preserve"> EN (tłumaczenie na język angielski w zakresie obowiązków Wykonawcy)</w:t>
      </w:r>
    </w:p>
    <w:p w14:paraId="02FF38A7" w14:textId="77777777" w:rsidR="00C91FC9" w:rsidRPr="00814213" w:rsidRDefault="00C91FC9" w:rsidP="00C91FC9">
      <w:pPr>
        <w:pStyle w:val="Akapitzlist"/>
        <w:numPr>
          <w:ilvl w:val="0"/>
          <w:numId w:val="10"/>
        </w:numPr>
      </w:pPr>
      <w:r w:rsidRPr="00814213">
        <w:t>PUESCKUD-SEAP-PIU – Projekt Interfejsu Użytkownika</w:t>
      </w:r>
    </w:p>
    <w:p w14:paraId="142D1F7C" w14:textId="77777777" w:rsidR="00C91FC9" w:rsidRPr="00814213" w:rsidRDefault="00C91FC9" w:rsidP="00C91FC9">
      <w:pPr>
        <w:pStyle w:val="Akapitzlist"/>
        <w:numPr>
          <w:ilvl w:val="0"/>
          <w:numId w:val="10"/>
        </w:numPr>
      </w:pPr>
      <w:proofErr w:type="spellStart"/>
      <w:r w:rsidRPr="00814213">
        <w:t>PUESCKUD_SEAP_KK_Specyfikacja</w:t>
      </w:r>
      <w:proofErr w:type="spellEnd"/>
      <w:r w:rsidRPr="00814213">
        <w:t xml:space="preserve"> - SEAP PLUS Specyfikacja Komponentu Komunikacyjnego z załącznikami, w tym SEAP PLUS Identyfikacja wizualna Komponentu Komunikacyjnego.</w:t>
      </w:r>
    </w:p>
    <w:p w14:paraId="221D9019" w14:textId="77777777" w:rsidR="00C91FC9" w:rsidRPr="00814213" w:rsidRDefault="00C91FC9" w:rsidP="00C91FC9">
      <w:r w:rsidRPr="00814213">
        <w:lastRenderedPageBreak/>
        <w:t>Powyższa dokumentacja systemu SEAP musi zostać przepisana według nowych szablonów zawartych w PWO lub innych szablonów dostarczonych przez Zamawiającego.</w:t>
      </w:r>
      <w:bookmarkEnd w:id="0"/>
    </w:p>
    <w:p w14:paraId="075E83DF" w14:textId="77777777" w:rsidR="00842A18" w:rsidRPr="00814213" w:rsidRDefault="00842A18"/>
    <w:sectPr w:rsidR="00842A18" w:rsidRPr="00814213" w:rsidSect="00A64888">
      <w:footerReference w:type="default" r:id="rId7"/>
      <w:headerReference w:type="first" r:id="rId8"/>
      <w:footerReference w:type="first" r:id="rId9"/>
      <w:pgSz w:w="11906" w:h="16838"/>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A4933" w14:textId="77777777" w:rsidR="00FB7759" w:rsidRDefault="00FB7759" w:rsidP="00C91FC9">
      <w:pPr>
        <w:spacing w:after="0" w:line="240" w:lineRule="auto"/>
      </w:pPr>
      <w:r>
        <w:separator/>
      </w:r>
    </w:p>
  </w:endnote>
  <w:endnote w:type="continuationSeparator" w:id="0">
    <w:p w14:paraId="1AC0ABD4" w14:textId="77777777" w:rsidR="00FB7759" w:rsidRDefault="00FB7759" w:rsidP="00C91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ato">
    <w:panose1 w:val="020F0502020204030203"/>
    <w:charset w:val="EE"/>
    <w:family w:val="swiss"/>
    <w:pitch w:val="variable"/>
    <w:sig w:usb0="A00002AF" w:usb1="4000604A"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8099194"/>
      <w:docPartObj>
        <w:docPartGallery w:val="Page Numbers (Bottom of Page)"/>
        <w:docPartUnique/>
      </w:docPartObj>
    </w:sdtPr>
    <w:sdtEndPr/>
    <w:sdtContent>
      <w:p w14:paraId="64D3BE05" w14:textId="77777777" w:rsidR="002173B0" w:rsidRDefault="00F4286B">
        <w:pPr>
          <w:pStyle w:val="Stopk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473198"/>
      <w:docPartObj>
        <w:docPartGallery w:val="Page Numbers (Bottom of Page)"/>
        <w:docPartUnique/>
      </w:docPartObj>
    </w:sdtPr>
    <w:sdtEndPr/>
    <w:sdtContent>
      <w:p w14:paraId="7A099D1F" w14:textId="77777777" w:rsidR="00446DE9" w:rsidRDefault="00F4286B">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4E426" w14:textId="77777777" w:rsidR="00FB7759" w:rsidRDefault="00FB7759" w:rsidP="00C91FC9">
      <w:pPr>
        <w:spacing w:after="0" w:line="240" w:lineRule="auto"/>
      </w:pPr>
      <w:r>
        <w:separator/>
      </w:r>
    </w:p>
  </w:footnote>
  <w:footnote w:type="continuationSeparator" w:id="0">
    <w:p w14:paraId="5FD2E117" w14:textId="77777777" w:rsidR="00FB7759" w:rsidRDefault="00FB7759" w:rsidP="00C91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BFA3" w14:textId="77777777" w:rsidR="008A1044" w:rsidRDefault="00FB7759" w:rsidP="006F3BBB">
    <w:pPr>
      <w:pStyle w:val="Nagwek"/>
      <w:spacing w:befor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07B4A"/>
    <w:multiLevelType w:val="hybridMultilevel"/>
    <w:tmpl w:val="2B8624EC"/>
    <w:lvl w:ilvl="0" w:tplc="4E0A2F96">
      <w:start w:val="1"/>
      <w:numFmt w:val="decimal"/>
      <w:lvlText w:val="%1."/>
      <w:lvlJc w:val="left"/>
      <w:pPr>
        <w:ind w:left="1068" w:hanging="708"/>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456379"/>
    <w:multiLevelType w:val="hybridMultilevel"/>
    <w:tmpl w:val="8780B078"/>
    <w:lvl w:ilvl="0" w:tplc="B97EA98A">
      <w:numFmt w:val="bullet"/>
      <w:lvlText w:val="•"/>
      <w:lvlJc w:val="left"/>
      <w:pPr>
        <w:ind w:left="1068" w:hanging="708"/>
      </w:pPr>
      <w:rPr>
        <w:rFonts w:ascii="Lato" w:eastAsiaTheme="minorHAnsi" w:hAnsi="Lato"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8B5A08"/>
    <w:multiLevelType w:val="hybridMultilevel"/>
    <w:tmpl w:val="43D25D6C"/>
    <w:lvl w:ilvl="0" w:tplc="0415000F">
      <w:start w:val="1"/>
      <w:numFmt w:val="decimal"/>
      <w:lvlText w:val="%1."/>
      <w:lvlJc w:val="left"/>
      <w:pPr>
        <w:ind w:left="1068" w:hanging="708"/>
      </w:pPr>
      <w:rPr>
        <w:rFonts w:hint="default"/>
      </w:rPr>
    </w:lvl>
    <w:lvl w:ilvl="1" w:tplc="04150003">
      <w:start w:val="1"/>
      <w:numFmt w:val="bullet"/>
      <w:lvlText w:val="o"/>
      <w:lvlJc w:val="left"/>
      <w:pPr>
        <w:ind w:left="1788" w:hanging="708"/>
      </w:pPr>
      <w:rPr>
        <w:rFonts w:ascii="Courier New" w:hAnsi="Courier New" w:cs="Courier New" w:hint="default"/>
      </w:rPr>
    </w:lvl>
    <w:lvl w:ilvl="2" w:tplc="80246088">
      <w:start w:val="4"/>
      <w:numFmt w:val="bullet"/>
      <w:lvlText w:val=""/>
      <w:lvlJc w:val="left"/>
      <w:pPr>
        <w:ind w:left="2508" w:hanging="708"/>
      </w:pPr>
      <w:rPr>
        <w:rFonts w:ascii="Symbol" w:eastAsiaTheme="minorHAnsi" w:hAnsi="Symbol" w:cstheme="minorBid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A64CCD"/>
    <w:multiLevelType w:val="hybridMultilevel"/>
    <w:tmpl w:val="5F3298E8"/>
    <w:lvl w:ilvl="0" w:tplc="B97EA98A">
      <w:numFmt w:val="bullet"/>
      <w:lvlText w:val="•"/>
      <w:lvlJc w:val="left"/>
      <w:pPr>
        <w:ind w:left="1068" w:hanging="708"/>
      </w:pPr>
      <w:rPr>
        <w:rFonts w:ascii="Lato" w:eastAsiaTheme="minorHAnsi" w:hAnsi="Lato" w:cstheme="minorBidi" w:hint="default"/>
      </w:rPr>
    </w:lvl>
    <w:lvl w:ilvl="1" w:tplc="04150003">
      <w:start w:val="1"/>
      <w:numFmt w:val="bullet"/>
      <w:lvlText w:val="o"/>
      <w:lvlJc w:val="left"/>
      <w:pPr>
        <w:ind w:left="1788" w:hanging="708"/>
      </w:pPr>
      <w:rPr>
        <w:rFonts w:ascii="Courier New" w:hAnsi="Courier New" w:cs="Courier New" w:hint="default"/>
      </w:rPr>
    </w:lvl>
    <w:lvl w:ilvl="2" w:tplc="80246088">
      <w:start w:val="4"/>
      <w:numFmt w:val="bullet"/>
      <w:lvlText w:val=""/>
      <w:lvlJc w:val="left"/>
      <w:pPr>
        <w:ind w:left="2508" w:hanging="708"/>
      </w:pPr>
      <w:rPr>
        <w:rFonts w:ascii="Symbol" w:eastAsiaTheme="minorHAnsi" w:hAnsi="Symbol" w:cstheme="minorBid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5F47E65"/>
    <w:multiLevelType w:val="hybridMultilevel"/>
    <w:tmpl w:val="87B48890"/>
    <w:lvl w:ilvl="0" w:tplc="B97EA98A">
      <w:numFmt w:val="bullet"/>
      <w:lvlText w:val="•"/>
      <w:lvlJc w:val="left"/>
      <w:pPr>
        <w:ind w:left="1068" w:hanging="708"/>
      </w:pPr>
      <w:rPr>
        <w:rFonts w:ascii="Lato" w:eastAsiaTheme="minorHAnsi" w:hAnsi="Lato"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CB51AB9"/>
    <w:multiLevelType w:val="hybridMultilevel"/>
    <w:tmpl w:val="CE3C86BC"/>
    <w:lvl w:ilvl="0" w:tplc="4E0A2F96">
      <w:start w:val="1"/>
      <w:numFmt w:val="decimal"/>
      <w:lvlText w:val="%1."/>
      <w:lvlJc w:val="left"/>
      <w:pPr>
        <w:ind w:left="1068" w:hanging="708"/>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44376D9"/>
    <w:multiLevelType w:val="hybridMultilevel"/>
    <w:tmpl w:val="BA8ABFAA"/>
    <w:lvl w:ilvl="0" w:tplc="B97EA98A">
      <w:numFmt w:val="bullet"/>
      <w:lvlText w:val="•"/>
      <w:lvlJc w:val="left"/>
      <w:pPr>
        <w:ind w:left="1068" w:hanging="708"/>
      </w:pPr>
      <w:rPr>
        <w:rFonts w:ascii="Lato" w:eastAsiaTheme="minorHAnsi" w:hAnsi="Lato"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4CA2A40"/>
    <w:multiLevelType w:val="hybridMultilevel"/>
    <w:tmpl w:val="3DAE9F76"/>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7A2C4C17"/>
    <w:multiLevelType w:val="hybridMultilevel"/>
    <w:tmpl w:val="A84E522A"/>
    <w:lvl w:ilvl="0" w:tplc="B97EA98A">
      <w:numFmt w:val="bullet"/>
      <w:lvlText w:val="•"/>
      <w:lvlJc w:val="left"/>
      <w:pPr>
        <w:ind w:left="1068" w:hanging="708"/>
      </w:pPr>
      <w:rPr>
        <w:rFonts w:ascii="Lato" w:eastAsiaTheme="minorHAnsi" w:hAnsi="Lato"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ED1645C"/>
    <w:multiLevelType w:val="hybridMultilevel"/>
    <w:tmpl w:val="BFD26126"/>
    <w:lvl w:ilvl="0" w:tplc="B97EA98A">
      <w:numFmt w:val="bullet"/>
      <w:lvlText w:val="•"/>
      <w:lvlJc w:val="left"/>
      <w:pPr>
        <w:ind w:left="1068" w:hanging="708"/>
      </w:pPr>
      <w:rPr>
        <w:rFonts w:ascii="Lato" w:eastAsiaTheme="minorHAnsi" w:hAnsi="Lato"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5"/>
  </w:num>
  <w:num w:numId="5">
    <w:abstractNumId w:val="0"/>
  </w:num>
  <w:num w:numId="6">
    <w:abstractNumId w:val="1"/>
  </w:num>
  <w:num w:numId="7">
    <w:abstractNumId w:val="6"/>
  </w:num>
  <w:num w:numId="8">
    <w:abstractNumId w:val="2"/>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DEA"/>
    <w:rsid w:val="00814213"/>
    <w:rsid w:val="00842A18"/>
    <w:rsid w:val="00C91FC9"/>
    <w:rsid w:val="00F4286B"/>
    <w:rsid w:val="00F51DEA"/>
    <w:rsid w:val="00FA2D4A"/>
    <w:rsid w:val="00FB7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EF5A01-00A5-46B4-B68C-195657483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1FC9"/>
    <w:pPr>
      <w:spacing w:line="276" w:lineRule="auto"/>
    </w:pPr>
    <w:rPr>
      <w:rFonts w:ascii="Lato" w:hAnsi="Lato"/>
      <w:sz w:val="24"/>
    </w:rPr>
  </w:style>
  <w:style w:type="paragraph" w:styleId="Nagwek1">
    <w:name w:val="heading 1"/>
    <w:basedOn w:val="Tytu"/>
    <w:next w:val="Normalny"/>
    <w:link w:val="Nagwek1Znak"/>
    <w:uiPriority w:val="9"/>
    <w:qFormat/>
    <w:rsid w:val="00C91FC9"/>
    <w:pPr>
      <w:keepNext/>
      <w:spacing w:before="480" w:after="120"/>
      <w:jc w:val="left"/>
      <w:outlineLvl w:val="0"/>
    </w:pPr>
    <w:rPr>
      <w:szCs w:val="40"/>
    </w:rPr>
  </w:style>
  <w:style w:type="paragraph" w:styleId="Nagwek2">
    <w:name w:val="heading 2"/>
    <w:basedOn w:val="Normalny"/>
    <w:next w:val="Normalny"/>
    <w:link w:val="Nagwek2Znak"/>
    <w:uiPriority w:val="9"/>
    <w:unhideWhenUsed/>
    <w:qFormat/>
    <w:rsid w:val="00C91FC9"/>
    <w:pPr>
      <w:keepNext/>
      <w:spacing w:before="480" w:after="120"/>
      <w:outlineLvl w:val="1"/>
    </w:pPr>
    <w:rPr>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91FC9"/>
    <w:rPr>
      <w:rFonts w:ascii="Lato" w:eastAsiaTheme="majorEastAsia" w:hAnsi="Lato" w:cstheme="majorBidi"/>
      <w:b/>
      <w:bCs/>
      <w:spacing w:val="-10"/>
      <w:kern w:val="28"/>
      <w:sz w:val="44"/>
      <w:szCs w:val="40"/>
    </w:rPr>
  </w:style>
  <w:style w:type="character" w:customStyle="1" w:styleId="Nagwek2Znak">
    <w:name w:val="Nagłówek 2 Znak"/>
    <w:basedOn w:val="Domylnaczcionkaakapitu"/>
    <w:link w:val="Nagwek2"/>
    <w:uiPriority w:val="9"/>
    <w:rsid w:val="00C91FC9"/>
    <w:rPr>
      <w:rFonts w:ascii="Lato" w:hAnsi="Lato"/>
      <w:b/>
      <w:bCs/>
      <w:sz w:val="32"/>
      <w:szCs w:val="32"/>
    </w:rPr>
  </w:style>
  <w:style w:type="paragraph" w:styleId="Nagwek">
    <w:name w:val="header"/>
    <w:basedOn w:val="Normalny"/>
    <w:link w:val="NagwekZnak"/>
    <w:uiPriority w:val="99"/>
    <w:unhideWhenUsed/>
    <w:rsid w:val="00C91F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1FC9"/>
    <w:rPr>
      <w:rFonts w:ascii="Lato" w:hAnsi="Lato"/>
      <w:sz w:val="24"/>
    </w:rPr>
  </w:style>
  <w:style w:type="paragraph" w:styleId="Stopka">
    <w:name w:val="footer"/>
    <w:basedOn w:val="Normalny"/>
    <w:link w:val="StopkaZnak"/>
    <w:uiPriority w:val="99"/>
    <w:unhideWhenUsed/>
    <w:rsid w:val="00C91F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1FC9"/>
    <w:rPr>
      <w:rFonts w:ascii="Lato" w:hAnsi="Lato"/>
      <w:sz w:val="24"/>
    </w:rPr>
  </w:style>
  <w:style w:type="paragraph" w:styleId="Tytu">
    <w:name w:val="Title"/>
    <w:basedOn w:val="Normalny"/>
    <w:next w:val="Normalny"/>
    <w:link w:val="TytuZnak"/>
    <w:uiPriority w:val="10"/>
    <w:qFormat/>
    <w:rsid w:val="00C91FC9"/>
    <w:pPr>
      <w:spacing w:before="240" w:after="240" w:line="240" w:lineRule="auto"/>
      <w:contextualSpacing/>
      <w:jc w:val="center"/>
    </w:pPr>
    <w:rPr>
      <w:rFonts w:eastAsiaTheme="majorEastAsia" w:cstheme="majorBidi"/>
      <w:b/>
      <w:bCs/>
      <w:spacing w:val="-10"/>
      <w:kern w:val="28"/>
      <w:sz w:val="44"/>
      <w:szCs w:val="72"/>
    </w:rPr>
  </w:style>
  <w:style w:type="character" w:customStyle="1" w:styleId="TytuZnak">
    <w:name w:val="Tytuł Znak"/>
    <w:basedOn w:val="Domylnaczcionkaakapitu"/>
    <w:link w:val="Tytu"/>
    <w:uiPriority w:val="10"/>
    <w:rsid w:val="00C91FC9"/>
    <w:rPr>
      <w:rFonts w:ascii="Lato" w:eastAsiaTheme="majorEastAsia" w:hAnsi="Lato" w:cstheme="majorBidi"/>
      <w:b/>
      <w:bCs/>
      <w:spacing w:val="-10"/>
      <w:kern w:val="28"/>
      <w:sz w:val="44"/>
      <w:szCs w:val="72"/>
    </w:rPr>
  </w:style>
  <w:style w:type="table" w:styleId="Tabela-Siatka">
    <w:name w:val="Table Grid"/>
    <w:basedOn w:val="Standardowy"/>
    <w:uiPriority w:val="39"/>
    <w:rsid w:val="00C91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91FC9"/>
    <w:pPr>
      <w:ind w:left="720"/>
      <w:contextualSpacing/>
    </w:pPr>
  </w:style>
  <w:style w:type="paragraph" w:styleId="Legenda">
    <w:name w:val="caption"/>
    <w:basedOn w:val="Normalny"/>
    <w:next w:val="Normalny"/>
    <w:uiPriority w:val="35"/>
    <w:semiHidden/>
    <w:unhideWhenUsed/>
    <w:qFormat/>
    <w:rsid w:val="00C91FC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3179</Words>
  <Characters>19077</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Szczegóły wymagań SEAP</dc:title>
  <dc:subject/>
  <dc:creator>Widelski Tomasz</dc:creator>
  <cp:keywords/>
  <dc:description/>
  <cp:lastModifiedBy>Widelski Tomasz</cp:lastModifiedBy>
  <cp:revision>3</cp:revision>
  <dcterms:created xsi:type="dcterms:W3CDTF">2024-05-31T09:13:00Z</dcterms:created>
  <dcterms:modified xsi:type="dcterms:W3CDTF">2024-05-31T09:52:00Z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UxC4dwLulzfINJ8nQH+xvX5LNGipWa4BRSZhPgxsCvlVVaYa4ZR6RjvHGT+O1BCj+thrCU5OpFBQzmSUkeOM3A==</vt:lpwstr>
  </property>
  <property fmtid="{D5CDD505-2E9C-101B-9397-08002B2CF9AE}" pid="4" name="MFClassificationDate">
    <vt:lpwstr>2024-05-31T11:12:39.5280627+02:00</vt:lpwstr>
  </property>
  <property fmtid="{D5CDD505-2E9C-101B-9397-08002B2CF9AE}" pid="5" name="MFClassifiedBySID">
    <vt:lpwstr>UxC4dwLulzfINJ8nQH+xvX5LNGipWa4BRSZhPgxsCvm42mrIC/DSDv0ggS+FjUN/2v1BBotkLlY5aAiEhoi6uUyNwbhovtitCo4sBUwcwDyp9qBwVVD/CFfO3jEBgPQS</vt:lpwstr>
  </property>
  <property fmtid="{D5CDD505-2E9C-101B-9397-08002B2CF9AE}" pid="6" name="MFGRNItemId">
    <vt:lpwstr>GRN-b01e3edd-88bf-4bfa-8f6f-f532e2a7cd7f</vt:lpwstr>
  </property>
  <property fmtid="{D5CDD505-2E9C-101B-9397-08002B2CF9AE}" pid="7" name="MFHash">
    <vt:lpwstr>ZNqnmc3IOI886NFycrZpC5USzMWIERAiSzCGqKfrCuk=</vt:lpwstr>
  </property>
  <property fmtid="{D5CDD505-2E9C-101B-9397-08002B2CF9AE}" pid="8" name="DLPManualFileClassification">
    <vt:lpwstr>{2755b7d9-e53d-4779-a40c-03797dcf43b3}</vt:lpwstr>
  </property>
  <property fmtid="{D5CDD505-2E9C-101B-9397-08002B2CF9AE}" pid="9" name="MFRefresh">
    <vt:lpwstr>False</vt:lpwstr>
  </property>
</Properties>
</file>