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F3221" w14:textId="3AB2F18F" w:rsidR="00E9508C" w:rsidRPr="00E9508C" w:rsidRDefault="00E9508C" w:rsidP="00E9508C">
      <w:pPr>
        <w:rPr>
          <w:rFonts w:ascii="Lato" w:hAnsi="Lato"/>
        </w:rPr>
      </w:pPr>
    </w:p>
    <w:p w14:paraId="0B538090" w14:textId="77777777" w:rsidR="00E9508C" w:rsidRPr="00E9508C" w:rsidRDefault="00E9508C" w:rsidP="00E9508C">
      <w:pPr>
        <w:spacing w:after="0"/>
        <w:jc w:val="right"/>
        <w:rPr>
          <w:rFonts w:ascii="Lato" w:eastAsia="Times New Roman" w:hAnsi="Lato"/>
          <w:b/>
          <w:bCs/>
          <w:sz w:val="24"/>
          <w:szCs w:val="24"/>
          <w:lang w:eastAsia="pl-PL"/>
        </w:rPr>
      </w:pPr>
      <w:r w:rsidRPr="00E9508C">
        <w:rPr>
          <w:rFonts w:ascii="Lato" w:eastAsia="Times New Roman" w:hAnsi="Lato"/>
          <w:b/>
          <w:bCs/>
          <w:sz w:val="24"/>
          <w:szCs w:val="24"/>
          <w:lang w:eastAsia="pl-PL"/>
        </w:rPr>
        <w:t>Załącznik nr 5 do OPZ</w:t>
      </w:r>
    </w:p>
    <w:p w14:paraId="1D77CD2F" w14:textId="77777777" w:rsidR="00E9508C" w:rsidRPr="00E9508C" w:rsidRDefault="00E9508C" w:rsidP="00E9508C">
      <w:pPr>
        <w:spacing w:after="0"/>
        <w:jc w:val="left"/>
        <w:rPr>
          <w:rFonts w:ascii="Lato" w:eastAsia="Times New Roman" w:hAnsi="Lato"/>
          <w:b/>
          <w:sz w:val="24"/>
          <w:szCs w:val="24"/>
          <w:lang w:eastAsia="pl-PL"/>
        </w:rPr>
      </w:pPr>
    </w:p>
    <w:p w14:paraId="180758BF" w14:textId="77777777" w:rsidR="00E9508C" w:rsidRPr="00E9508C" w:rsidRDefault="00E9508C" w:rsidP="00E9508C">
      <w:pPr>
        <w:spacing w:before="4440"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  <w:r w:rsidRPr="00E9508C">
        <w:rPr>
          <w:rFonts w:ascii="Lato" w:eastAsia="Times New Roman" w:hAnsi="Lato"/>
          <w:b/>
          <w:bCs/>
          <w:sz w:val="56"/>
          <w:szCs w:val="56"/>
          <w:lang w:eastAsia="pl-PL"/>
        </w:rPr>
        <w:t>Procedura odbioru przedmiotu Umowy</w:t>
      </w:r>
      <w:bookmarkStart w:id="0" w:name="_Toc249789993"/>
      <w:bookmarkStart w:id="1" w:name="_Toc320613661"/>
      <w:bookmarkStart w:id="2" w:name="_Toc321123614"/>
      <w:bookmarkStart w:id="3" w:name="_Toc140645892"/>
      <w:bookmarkStart w:id="4" w:name="_Toc51467496"/>
      <w:r w:rsidRPr="00E9508C">
        <w:rPr>
          <w:rFonts w:ascii="Lato" w:eastAsia="Times New Roman" w:hAnsi="Lato"/>
          <w:b/>
          <w:bCs/>
          <w:sz w:val="56"/>
          <w:szCs w:val="56"/>
          <w:lang w:eastAsia="pl-PL"/>
        </w:rPr>
        <w:br w:type="page"/>
      </w:r>
    </w:p>
    <w:p w14:paraId="6CE4549A" w14:textId="77777777" w:rsidR="00E9508C" w:rsidRPr="00E9508C" w:rsidRDefault="00E9508C" w:rsidP="00E9508C">
      <w:pPr>
        <w:pStyle w:val="Nagwek1"/>
        <w:keepLines w:val="0"/>
        <w:numPr>
          <w:ilvl w:val="0"/>
          <w:numId w:val="1"/>
        </w:numPr>
        <w:tabs>
          <w:tab w:val="num" w:pos="360"/>
          <w:tab w:val="num" w:pos="432"/>
        </w:tabs>
        <w:spacing w:before="240"/>
        <w:ind w:left="432" w:hanging="432"/>
        <w:jc w:val="left"/>
        <w:rPr>
          <w:rStyle w:val="Nagwek2Znak1"/>
          <w:rFonts w:ascii="Lato" w:hAnsi="Lato"/>
          <w:b/>
        </w:rPr>
      </w:pPr>
      <w:r w:rsidRPr="00E9508C">
        <w:rPr>
          <w:rFonts w:ascii="Lato" w:hAnsi="Lato" w:cstheme="minorBidi"/>
          <w:color w:val="auto"/>
          <w:kern w:val="32"/>
          <w:sz w:val="28"/>
          <w:szCs w:val="28"/>
          <w:lang w:eastAsia="pl-PL"/>
        </w:rPr>
        <w:lastRenderedPageBreak/>
        <w:t>Odbiór Usługi Utrzymania Systemu</w:t>
      </w:r>
      <w:r w:rsidRPr="00E9508C">
        <w:rPr>
          <w:rStyle w:val="Nagwek2Znak1"/>
          <w:rFonts w:ascii="Lato" w:hAnsi="Lato"/>
        </w:rPr>
        <w:t>.</w:t>
      </w:r>
    </w:p>
    <w:p w14:paraId="0E8E8126" w14:textId="77777777" w:rsidR="00E9508C" w:rsidRPr="00E9508C" w:rsidRDefault="00E9508C" w:rsidP="00E9508C">
      <w:pPr>
        <w:numPr>
          <w:ilvl w:val="0"/>
          <w:numId w:val="2"/>
        </w:numPr>
        <w:spacing w:after="0"/>
        <w:ind w:left="714" w:hanging="357"/>
        <w:contextualSpacing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>Zamawiający dokona odbioru Usługi Utrzymania Systemu za każdy Okres rozliczeniowy na podstawie zaakceptowanego przez Zamawiającego i Wykonawcę Protokołu Odbioru Usługi Utrzymania, którego wzór stanowi Załącznik nr</w:t>
      </w:r>
      <w:r w:rsidRPr="00E9508C">
        <w:rPr>
          <w:rFonts w:ascii="Lato" w:eastAsiaTheme="minorEastAsia" w:hAnsi="Lato"/>
          <w:i/>
          <w:iCs/>
          <w:color w:val="auto"/>
          <w:sz w:val="22"/>
          <w:szCs w:val="22"/>
          <w:lang w:eastAsia="en-US"/>
        </w:rPr>
        <w:t xml:space="preserve"> </w:t>
      </w: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>13 do OPZ.</w:t>
      </w:r>
    </w:p>
    <w:p w14:paraId="0BFD432F" w14:textId="77777777" w:rsidR="00E9508C" w:rsidRPr="00E9508C" w:rsidRDefault="00E9508C" w:rsidP="00E9508C">
      <w:pPr>
        <w:pStyle w:val="Akapitzlist"/>
        <w:numPr>
          <w:ilvl w:val="0"/>
          <w:numId w:val="2"/>
        </w:numPr>
        <w:spacing w:after="0"/>
        <w:ind w:left="714" w:hanging="357"/>
        <w:jc w:val="left"/>
        <w:rPr>
          <w:rFonts w:ascii="Lato" w:hAnsi="Lato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>W ramach czynności odbioru Usługi Utrzymania Systemu Wykonawca zobowiązuje się do przesłania Zamawiającemu w formie elektronicznej w terminie 3 Dni roboczych od daty zakończenia każdego trzymiesięcznego Okresu rozliczeniowego, podpisany Protokół Odbioru Usługi Utrzymania Systemu, którego wzór stanowi Załącznik nr 13</w:t>
      </w:r>
      <w:r w:rsidRPr="00E9508C">
        <w:rPr>
          <w:rFonts w:ascii="Lato" w:eastAsiaTheme="minorEastAsia" w:hAnsi="Lato"/>
          <w:i/>
          <w:iCs/>
          <w:color w:val="auto"/>
          <w:sz w:val="22"/>
          <w:szCs w:val="22"/>
          <w:lang w:eastAsia="en-US"/>
        </w:rPr>
        <w:t xml:space="preserve"> </w:t>
      </w: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>do OPZ, zawierający rejestr, o którym mowa w pkt 5.6. OPZ.  Wykonawca musi zawrzeć w rejestrze zestawienie wszystkich czynności w danym Okresie rozliczeniowym. Zamawiający w ciągu 10 Dni roboczych przekaże Wykonawcy podpisany protokół lub powiadomi o jego nieprawidłowościach.</w:t>
      </w:r>
    </w:p>
    <w:p w14:paraId="0E071448" w14:textId="77777777" w:rsidR="00E9508C" w:rsidRPr="00E9508C" w:rsidRDefault="00E9508C" w:rsidP="00E9508C">
      <w:pPr>
        <w:numPr>
          <w:ilvl w:val="0"/>
          <w:numId w:val="2"/>
        </w:numPr>
        <w:spacing w:after="0"/>
        <w:ind w:left="714" w:hanging="357"/>
        <w:contextualSpacing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W przypadku stwierdzenia nieprawidłowości, Zamawiający zwraca Protokół Odbioru Usługi Utrzymania Systemu Wykonawcy w celu jego uzupełnienia lub poprawienia. Wykonawca usunie nieprawidłowości w terminie 3 Dni roboczych i ponownie przedstawi Protokół Odbioru Usługi Utrzymania Systemu do akceptacji Zamawiającego. </w:t>
      </w:r>
    </w:p>
    <w:p w14:paraId="40A1B618" w14:textId="77777777" w:rsidR="00E9508C" w:rsidRPr="00E9508C" w:rsidRDefault="00E9508C" w:rsidP="00E9508C">
      <w:pPr>
        <w:pStyle w:val="Nagwek1"/>
        <w:keepLines w:val="0"/>
        <w:numPr>
          <w:ilvl w:val="0"/>
          <w:numId w:val="1"/>
        </w:numPr>
        <w:tabs>
          <w:tab w:val="num" w:pos="360"/>
          <w:tab w:val="num" w:pos="432"/>
        </w:tabs>
        <w:spacing w:before="240"/>
        <w:ind w:left="432" w:hanging="432"/>
        <w:jc w:val="left"/>
        <w:rPr>
          <w:rFonts w:ascii="Lato" w:hAnsi="Lato" w:cstheme="minorBidi"/>
          <w:color w:val="auto"/>
          <w:kern w:val="32"/>
          <w:sz w:val="28"/>
          <w:szCs w:val="28"/>
          <w:lang w:eastAsia="pl-PL"/>
        </w:rPr>
      </w:pPr>
      <w:r w:rsidRPr="00E9508C">
        <w:rPr>
          <w:rFonts w:ascii="Lato" w:hAnsi="Lato" w:cstheme="minorBidi"/>
          <w:color w:val="auto"/>
          <w:kern w:val="32"/>
          <w:sz w:val="28"/>
          <w:szCs w:val="28"/>
          <w:lang w:eastAsia="pl-PL"/>
        </w:rPr>
        <w:t>Odbiór Rozwoju Systemu - na Zgłoszenie.</w:t>
      </w:r>
    </w:p>
    <w:p w14:paraId="16D38971" w14:textId="77777777" w:rsidR="00E9508C" w:rsidRPr="00E9508C" w:rsidRDefault="00E9508C" w:rsidP="00E9508C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Za zakończenie realizacji Zmiany uznaje się umieszczenie na dedykowanych zasobach elementów wytworzonych w ramach realizacji Zmiany o których mowa w </w:t>
      </w:r>
      <w:proofErr w:type="spellStart"/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>ppkt</w:t>
      </w:r>
      <w:proofErr w:type="spellEnd"/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>. 3 poniżej oraz przekazanie Zamawiającemu informacji o zakończeniu realizacji Zmiany poprzez:</w:t>
      </w:r>
    </w:p>
    <w:p w14:paraId="4C4C7BE8" w14:textId="77777777" w:rsidR="00E9508C" w:rsidRPr="00E9508C" w:rsidRDefault="00E9508C" w:rsidP="00E9508C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>oznaczenie statusu Zmiany jako rozwiązane w systemie udostępnionym przez Zamawiającego albo</w:t>
      </w:r>
    </w:p>
    <w:p w14:paraId="2D3A548A" w14:textId="77777777" w:rsidR="00E9508C" w:rsidRPr="00E9508C" w:rsidRDefault="00E9508C" w:rsidP="00E9508C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>pocztę elektroniczną.</w:t>
      </w:r>
    </w:p>
    <w:p w14:paraId="31CA0322" w14:textId="77777777" w:rsidR="00E9508C" w:rsidRPr="00E9508C" w:rsidRDefault="00E9508C" w:rsidP="00E9508C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Wykonawca zamieszcza elementy wymienione w </w:t>
      </w:r>
      <w:proofErr w:type="spellStart"/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>ppkt</w:t>
      </w:r>
      <w:proofErr w:type="spellEnd"/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. 3)  lit. a-f poniżej, </w:t>
      </w:r>
      <w:r w:rsidRPr="00E9508C" w:rsidDel="000915D8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na zasobie </w:t>
      </w: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>wskazanym przez Zamawiającego.</w:t>
      </w:r>
    </w:p>
    <w:p w14:paraId="2DE6F064" w14:textId="77777777" w:rsidR="00E9508C" w:rsidRPr="00E9508C" w:rsidRDefault="00E9508C" w:rsidP="00E9508C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 ramach realizacji  Zmiany, Wykonawca dostarcza Zamawiającemu:</w:t>
      </w:r>
    </w:p>
    <w:p w14:paraId="0FA0F948" w14:textId="77777777" w:rsidR="00E9508C" w:rsidRPr="00E9508C" w:rsidRDefault="00E9508C" w:rsidP="00E9508C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wersję instalacyjną Nowej wersji Systemu lub komponentów które powodują powstanie Nowej wersji Systemu, utworzonych w wyniku realizacji Zmiany,</w:t>
      </w:r>
    </w:p>
    <w:p w14:paraId="2D88078A" w14:textId="77777777" w:rsidR="00E9508C" w:rsidRPr="00E9508C" w:rsidRDefault="00E9508C" w:rsidP="00E9508C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instrukcję instalacji albo implementacji Nowej wersji Systemu (jeśli wymagana),</w:t>
      </w:r>
    </w:p>
    <w:p w14:paraId="5695FE71" w14:textId="77777777" w:rsidR="00E9508C" w:rsidRPr="00E9508C" w:rsidRDefault="00E9508C" w:rsidP="00E9508C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biuletyn zmian,</w:t>
      </w:r>
    </w:p>
    <w:p w14:paraId="534F0F90" w14:textId="77777777" w:rsidR="00E9508C" w:rsidRPr="00E9508C" w:rsidRDefault="00E9508C" w:rsidP="00E9508C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kod źródłowy Systemu dostosowany do umieszczenia w repozytorium GIT (System Kontroli Wersji) dostępnym w sieci resortu finansów (jeśli dotyczy),</w:t>
      </w:r>
    </w:p>
    <w:p w14:paraId="1B14F157" w14:textId="77777777" w:rsidR="00E9508C" w:rsidRPr="00E9508C" w:rsidRDefault="00E9508C" w:rsidP="00E9508C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raport z testów</w:t>
      </w:r>
      <w:r w:rsidRPr="00E9508C">
        <w:rPr>
          <w:rFonts w:ascii="Lato" w:hAnsi="Lato"/>
        </w:rPr>
        <w:t xml:space="preserve"> </w: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przeprowadzonych przez Wykonawcę wraz z Planem Testów,</w:t>
      </w:r>
    </w:p>
    <w:p w14:paraId="0D7B4AE9" w14:textId="77777777" w:rsidR="00E9508C" w:rsidRPr="00E9508C" w:rsidRDefault="00E9508C" w:rsidP="00E9508C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zaktualizowaną lub wytworzoną Dokumentację Systemu,</w:t>
      </w:r>
    </w:p>
    <w:p w14:paraId="4DF577E1" w14:textId="77777777" w:rsidR="00E9508C" w:rsidRPr="00E9508C" w:rsidRDefault="00E9508C" w:rsidP="00E9508C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E9508C">
        <w:rPr>
          <w:rFonts w:ascii="Lato" w:hAnsi="Lato"/>
          <w:sz w:val="22"/>
          <w:szCs w:val="22"/>
        </w:rPr>
        <w:t>licencje na oprogramowanie w ramach rozbudowy Platformy Programowej wraz z warunkami licencyjnymi (jeśli dotyczy)</w:t>
      </w:r>
    </w:p>
    <w:p w14:paraId="5D04C528" w14:textId="77777777" w:rsidR="00E9508C" w:rsidRPr="00E9508C" w:rsidRDefault="00E9508C" w:rsidP="00E9508C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E9508C">
        <w:rPr>
          <w:rFonts w:ascii="Lato" w:hAnsi="Lato"/>
          <w:sz w:val="22"/>
          <w:szCs w:val="22"/>
        </w:rPr>
        <w:t>raport potwierdzający przeprowadzenie przeszkolenia (jeśli dotyczy).</w:t>
      </w:r>
    </w:p>
    <w:p w14:paraId="1B0C883E" w14:textId="77777777" w:rsidR="00E9508C" w:rsidRPr="00E9508C" w:rsidRDefault="00E9508C" w:rsidP="00E9508C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bookmarkStart w:id="5" w:name="_Ref166154233"/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Zamawiający w ramach procedury odbioru  Zmiany dokona weryfikacji spełnienia wymagań opisanych w OPZ i we Wniosku Zmiany. Zamawiający przeprowadzi testy zgodnie z procedurą opisaną w Załączniku nr 6 do OPZ. Zamawiający zweryfikuje </w: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lastRenderedPageBreak/>
        <w:t>przekazane kody źródłowe zgodnie z wymaganiami i kryteriami opisanymi w Załączniku nr 6 do OPZ. Zamawiający zweryfikuje zaktualizowaną albo wytworzoną Dokumentację Systemu zgodnie z wymaganiami i kryteriami zawartymi w Załączniku nr 4 do OPZ oraz realizację przeszkolenia (jeśli dotyczy) zgodnie z wymaganiami opisanymi w Załączniku nr 10 do OPZ.</w:t>
      </w:r>
      <w:bookmarkEnd w:id="5"/>
    </w:p>
    <w:p w14:paraId="4AD37DE7" w14:textId="77777777" w:rsidR="00E9508C" w:rsidRPr="00E9508C" w:rsidRDefault="00E9508C" w:rsidP="00E9508C">
      <w:pPr>
        <w:pStyle w:val="Akapitzlist"/>
        <w:spacing w:after="160"/>
        <w:ind w:left="709" w:firstLine="142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 ramach odbioru Zamawiający: </w:t>
      </w:r>
    </w:p>
    <w:p w14:paraId="2E91D66B" w14:textId="77777777" w:rsidR="00E9508C" w:rsidRPr="00E9508C" w:rsidRDefault="00E9508C" w:rsidP="00E9508C">
      <w:pPr>
        <w:pStyle w:val="Akapitzlist"/>
        <w:numPr>
          <w:ilvl w:val="3"/>
          <w:numId w:val="4"/>
        </w:numPr>
        <w:spacing w:after="160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zaakceptuje  Zmianę bez uwag;</w:t>
      </w:r>
    </w:p>
    <w:p w14:paraId="2BDB95FF" w14:textId="77777777" w:rsidR="00E9508C" w:rsidRPr="00E9508C" w:rsidRDefault="00E9508C" w:rsidP="00E9508C">
      <w:pPr>
        <w:pStyle w:val="Akapitzlist"/>
        <w:numPr>
          <w:ilvl w:val="3"/>
          <w:numId w:val="4"/>
        </w:numPr>
        <w:spacing w:after="160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zgłosi uwagi do Zmiany;</w:t>
      </w:r>
    </w:p>
    <w:p w14:paraId="22162A49" w14:textId="77777777" w:rsidR="00E9508C" w:rsidRPr="00E9508C" w:rsidRDefault="00E9508C" w:rsidP="00E9508C">
      <w:pPr>
        <w:pStyle w:val="Akapitzlist"/>
        <w:numPr>
          <w:ilvl w:val="3"/>
          <w:numId w:val="4"/>
        </w:numPr>
        <w:spacing w:after="0"/>
        <w:ind w:left="1560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odrzuci Zmianę;</w:t>
      </w:r>
    </w:p>
    <w:p w14:paraId="4760F368" w14:textId="77777777" w:rsidR="00E9508C" w:rsidRPr="00E9508C" w:rsidRDefault="00E9508C" w:rsidP="00E9508C">
      <w:pPr>
        <w:spacing w:after="0"/>
        <w:ind w:left="840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i poinformuje o tym Wykonawcę za pośrednictwem systemu CSD lub poczty elektronicznej lub </w:t>
      </w:r>
      <w:r w:rsidRPr="00E9508C">
        <w:rPr>
          <w:rFonts w:ascii="Lato" w:eastAsiaTheme="minorEastAsia" w:hAnsi="Lato" w:cs="Times New Roman"/>
          <w:color w:val="auto"/>
          <w:sz w:val="22"/>
          <w:szCs w:val="22"/>
          <w:lang w:eastAsia="en-US"/>
        </w:rPr>
        <w:t>poprzez inny system udostępniony przez Zamawiającego</w:t>
      </w: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. </w:t>
      </w:r>
    </w:p>
    <w:p w14:paraId="6D66C228" w14:textId="77777777" w:rsidR="00E9508C" w:rsidRPr="00E9508C" w:rsidRDefault="00E9508C" w:rsidP="00E9508C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 ramach procedury odbioru Zamawiający zweryfikuje raport z testów akceptacyjnych wraz z rekomendacją, który jest częścią Procedury Wytwarzania Oprogramowania, stanowiącej Załącznik nr 14 do OPZ.</w:t>
      </w:r>
    </w:p>
    <w:p w14:paraId="1A336F85" w14:textId="77777777" w:rsidR="00E9508C" w:rsidRPr="00E9508C" w:rsidRDefault="00E9508C" w:rsidP="00E9508C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Zamawiający zaakceptuje Zmianę bez uwag, gdy spełniają one wymagania i kryteria, o których mowa w </w:t>
      </w:r>
      <w:proofErr w:type="spellStart"/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</w: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begin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instrText xml:space="preserve"> REF _Ref166154233 \r \h  \* MERGEFORMAT </w:instrTex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separate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4)</w: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end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</w:t>
      </w:r>
    </w:p>
    <w:p w14:paraId="424A05E0" w14:textId="77777777" w:rsidR="00E9508C" w:rsidRPr="00E9508C" w:rsidRDefault="00E9508C" w:rsidP="00E9508C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bookmarkStart w:id="6" w:name="_Ref166154350"/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 przypadku, gdy Zmiana nie spełnia wymagań lub kryteriów, o których mowa w </w:t>
      </w:r>
      <w:proofErr w:type="spellStart"/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</w: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begin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instrText xml:space="preserve"> REF _Ref166154233 \r \h  \* MERGEFORMAT </w:instrTex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separate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4)</w: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end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, Zamawiający zgłosi Wykonawcy uwagi na formularzu, którego wzór stanowi Załącznik nr 2 do OPZ, za pośrednictwem systemu CSD lub poczty elektronicznej lub </w:t>
      </w: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poprzez inny system udostępniony przez Zamawiającego </w: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, wyznaczając Wykonawcy termin 10 dni na uwzględnienie uwag Zamawiającego.</w:t>
      </w:r>
      <w:bookmarkEnd w:id="6"/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</w:p>
    <w:p w14:paraId="2CD043EF" w14:textId="77777777" w:rsidR="00E9508C" w:rsidRPr="00E9508C" w:rsidRDefault="00E9508C" w:rsidP="00E9508C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bookmarkStart w:id="7" w:name="_Ref166154351"/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Wykonawca w terminie określonym przez Zamawiającego uwzględni uwagi Zamawiającego i poinformuje Zamawiającego o tym fakcie za pośrednictwem systemu CSD lub poczty elektronicznej lub </w:t>
      </w: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>poprzez inny system udostępniony przez Zamawiającego</w: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Zamawiający ponownie zweryfikuje prawidłowość wykonania  Zmiany. Zamawiający zaakceptuje Zmianę bez uwag, gdy spełnia ona wszystkie wymagania i kryteria, o których mowa w </w:t>
      </w:r>
      <w:proofErr w:type="spellStart"/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</w: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begin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instrText xml:space="preserve"> REF _Ref166154233 \r \h  \* MERGEFORMAT </w:instrTex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separate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4)</w: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end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 W przypadku przekroczenia przez Wykonawcę terminu na uwzględnienie uwag, Zamawiający uprawniony będzie do naliczenia kar umownych z tytułu niedochowania terminu na uwzględnienie uwag .</w:t>
      </w:r>
      <w:bookmarkEnd w:id="7"/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</w:p>
    <w:p w14:paraId="4CCAEE55" w14:textId="77777777" w:rsidR="00E9508C" w:rsidRPr="00E9508C" w:rsidRDefault="00E9508C" w:rsidP="00E9508C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Zamawiający uprawniony będzie do odrzucenia  Zmiany w sytuacji, gdy po procedurze odbioru określonej w pkt </w: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begin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instrText xml:space="preserve"> REF _Ref166154350 \r \h  \* MERGEFORMAT </w:instrTex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separate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7)</w: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end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i </w: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begin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instrText xml:space="preserve"> REF _Ref166154351 \r \h  \* MERGEFORMAT </w:instrTex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separate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8)</w: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end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, Zmiana nie spełnia wymagań  i kryteriów, o których mowa w </w:t>
      </w:r>
      <w:proofErr w:type="spellStart"/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</w: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begin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instrText xml:space="preserve"> REF _Ref166154233 \r \h  \* MERGEFORMAT </w:instrTex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separate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4)</w:t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end"/>
      </w: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 W takiej sytuacji, Zamawiający uprawniony będzie do naliczenia kar umownych z tytułu niedochowania terminu realizacji  Zmiany. Zastrzeżenia będące powodem</w:t>
      </w: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odrzucenia  Zmiany zostaną wskazane przez Zamawiającego w Protokole Odbioru Zmiany, stanowiącym Załącznik nr 11 do OPZ. </w:t>
      </w:r>
    </w:p>
    <w:p w14:paraId="202609CC" w14:textId="77777777" w:rsidR="00E9508C" w:rsidRPr="00E9508C" w:rsidRDefault="00E9508C" w:rsidP="00E9508C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>Czas, w którym Zamawiający weryfikuje dostarczoną  Zmianę, nie jest uwzględniany przy wyliczaniu kar z tytułu niedochowania terminu.</w:t>
      </w:r>
    </w:p>
    <w:p w14:paraId="6E52A58F" w14:textId="77777777" w:rsidR="00E9508C" w:rsidRPr="00E9508C" w:rsidRDefault="00E9508C" w:rsidP="00E9508C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Zamawiający potwierdzi odbiór  Zmiany poprzez podpisanie bez zastrzeżeń Protokołu Odbioru Zmiany, stanowiącego Załącznik nr 11 do OPZ, sporządzonego przez Wykonawcę. W przypadku wystąpienia dopuszczalnych błędów w ramach kryteriów jakościowych opisanych w Załączniku nr 6 do OPZ, Zamawiający zgłosi Wykonawcy konieczność poprawy tych błędów, zgodnie z procedurą usuwania Błędów opisaną w OPZ, w pkt. 5.2, z zachowaniem ich klasyfikacji.</w:t>
      </w:r>
    </w:p>
    <w:p w14:paraId="73A63F9B" w14:textId="77777777" w:rsidR="00E9508C" w:rsidRPr="00E9508C" w:rsidRDefault="00E9508C" w:rsidP="00E9508C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W celu rozliczenia Zmiany Wykonawca sporządzi na koniec każdego Okresu rozliczeniowego Protokół  Odbioru Rozwoju Systemu, stanowiący Załącznik nr 12 do OPZ. Podpisany przez Zamawiającego i Wykonawcę Protokół  Odbioru Rozwoju </w:t>
      </w: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lastRenderedPageBreak/>
        <w:t xml:space="preserve">Systemu stanowi podstawę do rozliczenia Rozwoju Systemu w Okresie rozliczeniowym, w którym Zmiany lub Zadania zostały odebrane. Załącznikami do Protokołu Odbioru Rozwoju Systemu będą Protokoły Odbioru Zmiany podpisane przez Strony w danym Okresie rozliczeniowym. </w:t>
      </w:r>
    </w:p>
    <w:p w14:paraId="4BE3036F" w14:textId="77777777" w:rsidR="00E9508C" w:rsidRPr="00E9508C" w:rsidRDefault="00E9508C" w:rsidP="00E9508C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>W przypadku stwierdzenia nieprawidłowości, Zamawiający zwraca Wykonawcy Protokół Odbioru Rozwoju Systemu w celu jego uzupełnienia lub poprawienia. Wykonawca usunie nieprawidłowości w terminie 2 Dni roboczych i ponownie przedstawi Protokół Odbioru Rozwoju Systemu do akceptacji Zamawiającego.</w:t>
      </w:r>
    </w:p>
    <w:p w14:paraId="5F07A957" w14:textId="77777777" w:rsidR="00E9508C" w:rsidRPr="00E9508C" w:rsidRDefault="00E9508C" w:rsidP="00E9508C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hAnsi="Lato"/>
        </w:rPr>
      </w:pPr>
      <w:r w:rsidRPr="00E9508C">
        <w:rPr>
          <w:rFonts w:ascii="Lato" w:eastAsiaTheme="minorEastAsia" w:hAnsi="Lato"/>
          <w:color w:val="auto"/>
          <w:sz w:val="22"/>
          <w:szCs w:val="22"/>
          <w:lang w:eastAsia="en-US"/>
        </w:rPr>
        <w:t>Zamawiający zastrzega prawo do udziału podmiotów trzecich w procedurze odbioru przedmiotu zamówienia.</w:t>
      </w:r>
      <w:r w:rsidRPr="00E9508C">
        <w:rPr>
          <w:rFonts w:ascii="Lato" w:hAnsi="Lato" w:cstheme="minorBidi"/>
          <w:color w:val="auto"/>
          <w:kern w:val="32"/>
          <w:sz w:val="28"/>
          <w:szCs w:val="28"/>
          <w:lang w:eastAsia="pl-PL"/>
        </w:rPr>
        <w:t xml:space="preserve"> </w:t>
      </w:r>
      <w:bookmarkEnd w:id="0"/>
      <w:bookmarkEnd w:id="1"/>
      <w:bookmarkEnd w:id="2"/>
      <w:bookmarkEnd w:id="3"/>
      <w:bookmarkEnd w:id="4"/>
    </w:p>
    <w:p w14:paraId="7DE9BF0E" w14:textId="77777777" w:rsidR="00E9508C" w:rsidRPr="00E9508C" w:rsidRDefault="00E9508C" w:rsidP="00E9508C">
      <w:pPr>
        <w:ind w:firstLine="708"/>
        <w:rPr>
          <w:rFonts w:ascii="Lato" w:hAnsi="Lato"/>
        </w:rPr>
      </w:pPr>
    </w:p>
    <w:sectPr w:rsidR="00E9508C" w:rsidRPr="00E950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61F7" w14:textId="77777777" w:rsidR="000977FF" w:rsidRDefault="000977FF" w:rsidP="00E9508C">
      <w:pPr>
        <w:spacing w:after="0" w:line="240" w:lineRule="auto"/>
      </w:pPr>
      <w:r>
        <w:separator/>
      </w:r>
    </w:p>
  </w:endnote>
  <w:endnote w:type="continuationSeparator" w:id="0">
    <w:p w14:paraId="336C727A" w14:textId="77777777" w:rsidR="000977FF" w:rsidRDefault="000977FF" w:rsidP="00E9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6319834"/>
      <w:docPartObj>
        <w:docPartGallery w:val="Page Numbers (Bottom of Page)"/>
        <w:docPartUnique/>
      </w:docPartObj>
    </w:sdtPr>
    <w:sdtEndPr/>
    <w:sdtContent>
      <w:p w14:paraId="3A1D77D0" w14:textId="2B742AE5" w:rsidR="00E9508C" w:rsidRDefault="00E950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B60406" w14:textId="77777777" w:rsidR="00E9508C" w:rsidRDefault="00E950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B2FD3" w14:textId="77777777" w:rsidR="000977FF" w:rsidRDefault="000977FF" w:rsidP="00E9508C">
      <w:pPr>
        <w:spacing w:after="0" w:line="240" w:lineRule="auto"/>
      </w:pPr>
      <w:r>
        <w:separator/>
      </w:r>
    </w:p>
  </w:footnote>
  <w:footnote w:type="continuationSeparator" w:id="0">
    <w:p w14:paraId="6E508BA5" w14:textId="77777777" w:rsidR="000977FF" w:rsidRDefault="000977FF" w:rsidP="00E9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28B8E" w14:textId="187C0CFB" w:rsidR="00E9508C" w:rsidRDefault="00E9508C">
    <w:pPr>
      <w:pStyle w:val="Nagwek"/>
    </w:pPr>
    <w:r>
      <w:rPr>
        <w:noProof/>
        <w:lang w:eastAsia="pl-PL"/>
      </w:rPr>
      <w:drawing>
        <wp:inline distT="0" distB="0" distL="0" distR="0" wp14:anchorId="6A0AACE2" wp14:editId="369740AE">
          <wp:extent cx="1938655" cy="400050"/>
          <wp:effectExtent l="0" t="0" r="4445" b="0"/>
          <wp:docPr id="5" name="Obraz 5" descr="LOGO CIRF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EBE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1" w15:restartNumberingAfterBreak="0">
    <w:nsid w:val="38C81679"/>
    <w:multiLevelType w:val="hybridMultilevel"/>
    <w:tmpl w:val="D452CE46"/>
    <w:lvl w:ilvl="0" w:tplc="0B9EF488">
      <w:start w:val="1"/>
      <w:numFmt w:val="decimal"/>
      <w:lvlText w:val="%1."/>
      <w:lvlJc w:val="left"/>
      <w:pPr>
        <w:ind w:left="502" w:hanging="360"/>
      </w:pPr>
      <w:rPr>
        <w:rFonts w:ascii="Lato" w:hAnsi="Lato" w:cs="Arial" w:hint="default"/>
        <w:b w:val="0"/>
        <w:sz w:val="28"/>
        <w:szCs w:val="28"/>
      </w:rPr>
    </w:lvl>
    <w:lvl w:ilvl="1" w:tplc="04150011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41641DC"/>
    <w:multiLevelType w:val="hybridMultilevel"/>
    <w:tmpl w:val="ED00DDA0"/>
    <w:lvl w:ilvl="0" w:tplc="D422C46A">
      <w:start w:val="1"/>
      <w:numFmt w:val="decimal"/>
      <w:lvlText w:val="%1)"/>
      <w:lvlJc w:val="left"/>
      <w:pPr>
        <w:ind w:left="720" w:hanging="360"/>
      </w:pPr>
      <w:rPr>
        <w:color w:val="auto"/>
        <w:sz w:val="22"/>
      </w:rPr>
    </w:lvl>
    <w:lvl w:ilvl="1" w:tplc="BFA801F0">
      <w:start w:val="2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106A7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08C"/>
    <w:rsid w:val="000977FF"/>
    <w:rsid w:val="002E45F8"/>
    <w:rsid w:val="00510AB4"/>
    <w:rsid w:val="006C3AD5"/>
    <w:rsid w:val="00716350"/>
    <w:rsid w:val="0081633D"/>
    <w:rsid w:val="00C34A20"/>
    <w:rsid w:val="00C90EA4"/>
    <w:rsid w:val="00E9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69D49"/>
  <w15:chartTrackingRefBased/>
  <w15:docId w15:val="{DDC60413-CFF7-4F86-942E-4641563A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08C"/>
    <w:pPr>
      <w:spacing w:after="200" w:line="276" w:lineRule="auto"/>
      <w:jc w:val="both"/>
    </w:pPr>
    <w:rPr>
      <w:rFonts w:ascii="Arial" w:eastAsia="Calibri" w:hAnsi="Arial" w:cs="Arial"/>
      <w:color w:val="000000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508C"/>
    <w:pPr>
      <w:keepNext/>
      <w:keepLines/>
      <w:spacing w:before="360" w:after="120"/>
      <w:outlineLvl w:val="0"/>
    </w:pPr>
    <w:rPr>
      <w:rFonts w:eastAsia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5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08C"/>
  </w:style>
  <w:style w:type="paragraph" w:styleId="Stopka">
    <w:name w:val="footer"/>
    <w:basedOn w:val="Normalny"/>
    <w:link w:val="StopkaZnak"/>
    <w:uiPriority w:val="99"/>
    <w:unhideWhenUsed/>
    <w:rsid w:val="00E95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08C"/>
  </w:style>
  <w:style w:type="character" w:customStyle="1" w:styleId="Nagwek1Znak">
    <w:name w:val="Nagłówek 1 Znak"/>
    <w:basedOn w:val="Domylnaczcionkaakapitu"/>
    <w:link w:val="Nagwek1"/>
    <w:uiPriority w:val="9"/>
    <w:rsid w:val="00E9508C"/>
    <w:rPr>
      <w:rFonts w:ascii="Arial" w:eastAsia="Times New Roman" w:hAnsi="Arial" w:cs="Times New Roman"/>
      <w:b/>
      <w:bCs/>
      <w:color w:val="000000"/>
      <w:sz w:val="36"/>
      <w:szCs w:val="36"/>
      <w:lang w:eastAsia="zh-CN"/>
    </w:rPr>
  </w:style>
  <w:style w:type="character" w:customStyle="1" w:styleId="Nagwek2Znak1">
    <w:name w:val="Nagłówek 2 Znak1"/>
    <w:qFormat/>
    <w:rsid w:val="00E9508C"/>
    <w:rPr>
      <w:b/>
      <w:sz w:val="40"/>
      <w:lang w:val="pl-PL"/>
    </w:rPr>
  </w:style>
  <w:style w:type="paragraph" w:styleId="Akapitzlist">
    <w:name w:val="List Paragraph"/>
    <w:aliases w:val="Numerowanie,L1,Akapit z listą BS,List Paragraph2,List Paragraph,List Paragraph21,Normalny PDST,lp1,Preambuła,HŁ_Bullet1,Akapit normalny,CW_Lista,Dot pt,F5 List Paragraph,Recommendation,BulletC,Wyliczanie,Obiekt,Bullets"/>
    <w:basedOn w:val="Normalny"/>
    <w:uiPriority w:val="34"/>
    <w:qFormat/>
    <w:rsid w:val="00E9508C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968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OPZ</vt:lpstr>
    </vt:vector>
  </TitlesOfParts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OPZ</dc:title>
  <dc:subject/>
  <dc:creator>Widelski Tomasz</dc:creator>
  <cp:keywords>Załącznik nr 5 do OPZ</cp:keywords>
  <dc:description/>
  <cp:lastModifiedBy>Widelski Tomasz</cp:lastModifiedBy>
  <cp:revision>5</cp:revision>
  <dcterms:created xsi:type="dcterms:W3CDTF">2024-05-31T10:05:00Z</dcterms:created>
  <dcterms:modified xsi:type="dcterms:W3CDTF">2024-05-31T10:23:00Z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UxC4dwLulzfINJ8nQH+xvX5LNGipWa4BRSZhPgxsCvlVVaYa4ZR6RjvHGT+O1BCj+thrCU5OpFBQzmSUkeOM3A==</vt:lpwstr>
  </property>
  <property fmtid="{D5CDD505-2E9C-101B-9397-08002B2CF9AE}" pid="4" name="MFClassificationDate">
    <vt:lpwstr>2024-05-31T12:05:42.3408871+02:00</vt:lpwstr>
  </property>
  <property fmtid="{D5CDD505-2E9C-101B-9397-08002B2CF9AE}" pid="5" name="MFClassifiedBySID">
    <vt:lpwstr>UxC4dwLulzfINJ8nQH+xvX5LNGipWa4BRSZhPgxsCvm42mrIC/DSDv0ggS+FjUN/2v1BBotkLlY5aAiEhoi6uUyNwbhovtitCo4sBUwcwDyp9qBwVVD/CFfO3jEBgPQS</vt:lpwstr>
  </property>
  <property fmtid="{D5CDD505-2E9C-101B-9397-08002B2CF9AE}" pid="6" name="MFGRNItemId">
    <vt:lpwstr>GRN-5d155bd1-4db7-4918-92cf-ba300101b2b6</vt:lpwstr>
  </property>
  <property fmtid="{D5CDD505-2E9C-101B-9397-08002B2CF9AE}" pid="7" name="MFHash">
    <vt:lpwstr>Nsmv23CVSyYnP2QzNeXyDjSVSsmWMoa2cpV/Mr8XJvw=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