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CA2EFE" w14:textId="77777777" w:rsidR="00B0551C" w:rsidRPr="00266C2A" w:rsidRDefault="00832956" w:rsidP="004B450E">
      <w:pPr>
        <w:spacing w:before="120" w:after="120" w:line="240" w:lineRule="auto"/>
        <w:jc w:val="right"/>
        <w:rPr>
          <w:rFonts w:ascii="Lato" w:hAnsi="Lato" w:cstheme="minorHAnsi"/>
          <w:b/>
          <w:bCs/>
          <w:sz w:val="24"/>
          <w:szCs w:val="24"/>
        </w:rPr>
      </w:pPr>
      <w:bookmarkStart w:id="0" w:name="_GoBack"/>
      <w:r w:rsidRPr="00266C2A">
        <w:rPr>
          <w:rFonts w:ascii="Lato" w:hAnsi="Lato" w:cstheme="minorHAnsi"/>
          <w:b/>
          <w:bCs/>
          <w:sz w:val="24"/>
          <w:szCs w:val="24"/>
        </w:rPr>
        <w:t xml:space="preserve">Załącznik nr </w:t>
      </w:r>
      <w:r w:rsidR="008336DE" w:rsidRPr="00266C2A">
        <w:rPr>
          <w:rFonts w:ascii="Lato" w:hAnsi="Lato" w:cstheme="minorHAnsi"/>
          <w:b/>
          <w:bCs/>
          <w:sz w:val="24"/>
          <w:szCs w:val="24"/>
        </w:rPr>
        <w:t xml:space="preserve">2.6 </w:t>
      </w:r>
      <w:r w:rsidRPr="00266C2A">
        <w:rPr>
          <w:rFonts w:ascii="Lato" w:hAnsi="Lato" w:cstheme="minorHAnsi"/>
          <w:b/>
          <w:bCs/>
          <w:sz w:val="24"/>
          <w:szCs w:val="24"/>
        </w:rPr>
        <w:t xml:space="preserve">do </w:t>
      </w:r>
      <w:r w:rsidR="00B0551C" w:rsidRPr="00266C2A">
        <w:rPr>
          <w:rFonts w:ascii="Lato" w:hAnsi="Lato" w:cstheme="minorHAnsi"/>
          <w:b/>
          <w:bCs/>
          <w:sz w:val="24"/>
          <w:szCs w:val="24"/>
        </w:rPr>
        <w:t>załącznika 2 OPZ</w:t>
      </w:r>
    </w:p>
    <w:bookmarkEnd w:id="0"/>
    <w:p w14:paraId="07C140BD" w14:textId="772E2EE6" w:rsidR="00832956" w:rsidRPr="00266C2A" w:rsidRDefault="008336DE" w:rsidP="004B450E">
      <w:pPr>
        <w:spacing w:before="120" w:after="120" w:line="240" w:lineRule="auto"/>
        <w:jc w:val="right"/>
        <w:rPr>
          <w:rFonts w:ascii="Lato" w:hAnsi="Lato" w:cstheme="minorHAnsi"/>
          <w:b/>
          <w:bCs/>
          <w:sz w:val="24"/>
          <w:szCs w:val="24"/>
        </w:rPr>
      </w:pPr>
      <w:r w:rsidRPr="00266C2A">
        <w:rPr>
          <w:rFonts w:ascii="Lato" w:hAnsi="Lato" w:cstheme="minorHAnsi"/>
          <w:b/>
          <w:bCs/>
          <w:sz w:val="24"/>
          <w:szCs w:val="24"/>
        </w:rPr>
        <w:t xml:space="preserve"> </w:t>
      </w:r>
    </w:p>
    <w:p w14:paraId="6FA41BF8" w14:textId="6C9BBB83" w:rsidR="00BE2369" w:rsidRPr="00266C2A" w:rsidRDefault="00D977FF" w:rsidP="004B450E">
      <w:pPr>
        <w:spacing w:before="120" w:after="120" w:line="240" w:lineRule="auto"/>
        <w:jc w:val="center"/>
        <w:rPr>
          <w:rFonts w:ascii="Lato" w:hAnsi="Lato" w:cstheme="minorHAnsi"/>
          <w:b/>
          <w:bCs/>
          <w:sz w:val="24"/>
          <w:szCs w:val="24"/>
        </w:rPr>
      </w:pPr>
      <w:r w:rsidRPr="00266C2A">
        <w:rPr>
          <w:rFonts w:ascii="Lato" w:hAnsi="Lato" w:cstheme="minorHAnsi"/>
          <w:b/>
          <w:bCs/>
          <w:sz w:val="24"/>
          <w:szCs w:val="24"/>
        </w:rPr>
        <w:t xml:space="preserve">Przykładowy katalog </w:t>
      </w:r>
      <w:r w:rsidR="00F9160A" w:rsidRPr="00266C2A">
        <w:rPr>
          <w:rFonts w:ascii="Lato" w:hAnsi="Lato" w:cstheme="minorHAnsi"/>
          <w:b/>
          <w:bCs/>
          <w:sz w:val="24"/>
          <w:szCs w:val="24"/>
        </w:rPr>
        <w:t>danych</w:t>
      </w:r>
      <w:r w:rsidR="001271A6" w:rsidRPr="00266C2A">
        <w:rPr>
          <w:rFonts w:ascii="Lato" w:hAnsi="Lato" w:cstheme="minorHAnsi"/>
          <w:b/>
          <w:bCs/>
          <w:sz w:val="24"/>
          <w:szCs w:val="24"/>
        </w:rPr>
        <w:t>, których dotyczą zmiany</w:t>
      </w:r>
      <w:r w:rsidR="00BE2369" w:rsidRPr="00266C2A">
        <w:rPr>
          <w:rFonts w:ascii="Lato" w:hAnsi="Lato" w:cstheme="minorHAnsi"/>
          <w:b/>
          <w:bCs/>
          <w:sz w:val="24"/>
          <w:szCs w:val="24"/>
        </w:rPr>
        <w:t xml:space="preserve"> w formularzach </w:t>
      </w:r>
      <w:r w:rsidR="00BE2369" w:rsidRPr="00266C2A">
        <w:rPr>
          <w:rFonts w:ascii="Lato" w:hAnsi="Lato" w:cstheme="minorHAnsi"/>
          <w:b/>
          <w:bCs/>
          <w:sz w:val="24"/>
          <w:szCs w:val="24"/>
        </w:rPr>
        <w:br/>
      </w:r>
      <w:r w:rsidR="001271A6" w:rsidRPr="00266C2A">
        <w:rPr>
          <w:rFonts w:ascii="Lato" w:hAnsi="Lato" w:cstheme="minorHAnsi"/>
          <w:b/>
          <w:bCs/>
          <w:sz w:val="24"/>
          <w:szCs w:val="24"/>
        </w:rPr>
        <w:t>i przykładowy</w:t>
      </w:r>
      <w:r w:rsidR="00E20C4C" w:rsidRPr="00266C2A">
        <w:rPr>
          <w:rFonts w:ascii="Lato" w:hAnsi="Lato" w:cstheme="minorHAnsi"/>
          <w:b/>
          <w:bCs/>
          <w:sz w:val="24"/>
          <w:szCs w:val="24"/>
        </w:rPr>
        <w:t xml:space="preserve"> </w:t>
      </w:r>
      <w:r w:rsidR="001271A6" w:rsidRPr="00266C2A">
        <w:rPr>
          <w:rFonts w:ascii="Lato" w:hAnsi="Lato" w:cstheme="minorHAnsi"/>
          <w:b/>
          <w:bCs/>
          <w:sz w:val="24"/>
          <w:szCs w:val="24"/>
        </w:rPr>
        <w:t>zakres zmian w zawartości i działaniu sekcji formularz</w:t>
      </w:r>
      <w:r w:rsidR="00BE2369" w:rsidRPr="00266C2A">
        <w:rPr>
          <w:rFonts w:ascii="Lato" w:hAnsi="Lato" w:cstheme="minorHAnsi"/>
          <w:b/>
          <w:bCs/>
          <w:sz w:val="24"/>
          <w:szCs w:val="24"/>
        </w:rPr>
        <w:t>y</w:t>
      </w:r>
      <w:r w:rsidR="00D17A2F" w:rsidRPr="00266C2A">
        <w:rPr>
          <w:rFonts w:ascii="Lato" w:hAnsi="Lato" w:cstheme="minorHAnsi"/>
          <w:b/>
          <w:bCs/>
          <w:sz w:val="24"/>
          <w:szCs w:val="24"/>
        </w:rPr>
        <w:t xml:space="preserve"> na PUESC</w:t>
      </w:r>
      <w:r w:rsidR="00F9160A" w:rsidRPr="00266C2A">
        <w:rPr>
          <w:rFonts w:ascii="Lato" w:hAnsi="Lato" w:cstheme="minorHAnsi"/>
          <w:b/>
          <w:bCs/>
          <w:sz w:val="24"/>
          <w:szCs w:val="24"/>
        </w:rPr>
        <w:t xml:space="preserve"> </w:t>
      </w:r>
    </w:p>
    <w:p w14:paraId="3729E6AF" w14:textId="01C83019" w:rsidR="00423998" w:rsidRPr="00266C2A" w:rsidRDefault="00E20C4C" w:rsidP="004B450E">
      <w:pPr>
        <w:spacing w:before="120" w:after="120" w:line="240" w:lineRule="auto"/>
        <w:rPr>
          <w:rFonts w:ascii="Lato" w:hAnsi="Lato" w:cstheme="minorHAnsi"/>
          <w:sz w:val="24"/>
          <w:szCs w:val="24"/>
        </w:rPr>
      </w:pPr>
      <w:r w:rsidRPr="00266C2A">
        <w:rPr>
          <w:rFonts w:ascii="Lato" w:hAnsi="Lato" w:cstheme="minorHAnsi"/>
          <w:sz w:val="24"/>
          <w:szCs w:val="24"/>
        </w:rPr>
        <w:t>Poniższy k</w:t>
      </w:r>
      <w:r w:rsidR="00F9160A" w:rsidRPr="00266C2A">
        <w:rPr>
          <w:rFonts w:ascii="Lato" w:hAnsi="Lato" w:cstheme="minorHAnsi"/>
          <w:sz w:val="24"/>
          <w:szCs w:val="24"/>
        </w:rPr>
        <w:t xml:space="preserve">atalog </w:t>
      </w:r>
      <w:r w:rsidR="00BE2369" w:rsidRPr="00266C2A">
        <w:rPr>
          <w:rFonts w:ascii="Lato" w:hAnsi="Lato" w:cstheme="minorHAnsi"/>
          <w:sz w:val="24"/>
          <w:szCs w:val="24"/>
        </w:rPr>
        <w:t xml:space="preserve">dotyczy formularza wniosku </w:t>
      </w:r>
      <w:r w:rsidR="00BE2369" w:rsidRPr="00266C2A">
        <w:rPr>
          <w:rFonts w:ascii="Lato" w:hAnsi="Lato" w:cstheme="minorHAnsi"/>
          <w:b/>
          <w:bCs/>
          <w:sz w:val="24"/>
          <w:szCs w:val="24"/>
        </w:rPr>
        <w:t>WDOPO01</w:t>
      </w:r>
      <w:r w:rsidR="00BE2369" w:rsidRPr="00266C2A">
        <w:rPr>
          <w:rFonts w:ascii="Lato" w:hAnsi="Lato" w:cstheme="minorHAnsi"/>
          <w:sz w:val="24"/>
          <w:szCs w:val="24"/>
        </w:rPr>
        <w:t xml:space="preserve">, </w:t>
      </w:r>
      <w:r w:rsidR="00BE2369" w:rsidRPr="00266C2A">
        <w:rPr>
          <w:rFonts w:ascii="Lato" w:hAnsi="Lato" w:cstheme="minorHAnsi"/>
          <w:b/>
          <w:bCs/>
          <w:sz w:val="24"/>
          <w:szCs w:val="24"/>
          <w:lang w:eastAsia="pl-PL"/>
        </w:rPr>
        <w:t>WDCWP01</w:t>
      </w:r>
      <w:r w:rsidR="00BE2369" w:rsidRPr="00266C2A">
        <w:rPr>
          <w:rFonts w:ascii="Lato" w:hAnsi="Lato" w:cstheme="minorHAnsi"/>
          <w:sz w:val="24"/>
          <w:szCs w:val="24"/>
          <w:lang w:eastAsia="pl-PL"/>
        </w:rPr>
        <w:t xml:space="preserve">, </w:t>
      </w:r>
      <w:r w:rsidR="00BE2369" w:rsidRPr="00266C2A">
        <w:rPr>
          <w:rFonts w:ascii="Lato" w:hAnsi="Lato" w:cstheme="minorHAnsi"/>
          <w:b/>
          <w:bCs/>
          <w:sz w:val="24"/>
          <w:szCs w:val="24"/>
          <w:lang w:eastAsia="pl-PL"/>
        </w:rPr>
        <w:t>WDCW101,</w:t>
      </w:r>
      <w:r w:rsidR="00BE2369" w:rsidRPr="00266C2A">
        <w:rPr>
          <w:rFonts w:ascii="Lato" w:hAnsi="Lato" w:cstheme="minorHAnsi"/>
          <w:sz w:val="24"/>
          <w:szCs w:val="24"/>
          <w:lang w:eastAsia="pl-PL"/>
        </w:rPr>
        <w:t xml:space="preserve"> </w:t>
      </w:r>
      <w:r w:rsidR="00BE2369" w:rsidRPr="00266C2A">
        <w:rPr>
          <w:rFonts w:ascii="Lato" w:hAnsi="Lato" w:cstheme="minorHAnsi"/>
          <w:b/>
          <w:bCs/>
          <w:sz w:val="24"/>
          <w:szCs w:val="24"/>
          <w:lang w:eastAsia="pl-PL"/>
        </w:rPr>
        <w:t>WDCW201</w:t>
      </w:r>
      <w:r w:rsidR="0019351E" w:rsidRPr="00266C2A">
        <w:rPr>
          <w:rFonts w:ascii="Lato" w:hAnsi="Lato" w:cstheme="minorHAnsi"/>
          <w:b/>
          <w:bCs/>
          <w:sz w:val="24"/>
          <w:szCs w:val="24"/>
          <w:lang w:eastAsia="pl-PL"/>
        </w:rPr>
        <w:t>,</w:t>
      </w:r>
      <w:r w:rsidR="00BE2369" w:rsidRPr="00266C2A">
        <w:rPr>
          <w:rFonts w:ascii="Lato" w:hAnsi="Lato" w:cstheme="minorHAnsi"/>
          <w:sz w:val="24"/>
          <w:szCs w:val="24"/>
          <w:lang w:eastAsia="pl-PL"/>
        </w:rPr>
        <w:t xml:space="preserve"> </w:t>
      </w:r>
      <w:r w:rsidR="0019351E" w:rsidRPr="00266C2A">
        <w:rPr>
          <w:rFonts w:ascii="Lato" w:hAnsi="Lato" w:cstheme="minorHAnsi"/>
          <w:b/>
          <w:bCs/>
          <w:sz w:val="24"/>
          <w:szCs w:val="24"/>
          <w:lang w:eastAsia="pl-PL"/>
        </w:rPr>
        <w:t>WDTST01</w:t>
      </w:r>
      <w:r w:rsidR="0019351E" w:rsidRPr="00266C2A">
        <w:rPr>
          <w:rFonts w:ascii="Lato" w:hAnsi="Lato" w:cstheme="minorHAnsi"/>
          <w:sz w:val="24"/>
          <w:szCs w:val="24"/>
          <w:lang w:eastAsia="pl-PL"/>
        </w:rPr>
        <w:t xml:space="preserve">. </w:t>
      </w:r>
      <w:r w:rsidR="00BE2369" w:rsidRPr="00266C2A">
        <w:rPr>
          <w:rFonts w:ascii="Lato" w:hAnsi="Lato" w:cstheme="minorHAnsi"/>
          <w:sz w:val="24"/>
          <w:szCs w:val="24"/>
        </w:rPr>
        <w:t>Jest to</w:t>
      </w:r>
      <w:r w:rsidRPr="00266C2A">
        <w:rPr>
          <w:rFonts w:ascii="Lato" w:hAnsi="Lato" w:cstheme="minorHAnsi"/>
          <w:sz w:val="24"/>
          <w:szCs w:val="24"/>
        </w:rPr>
        <w:t xml:space="preserve"> katalog </w:t>
      </w:r>
      <w:r w:rsidR="00F9160A" w:rsidRPr="00266C2A">
        <w:rPr>
          <w:rFonts w:ascii="Lato" w:hAnsi="Lato" w:cstheme="minorHAnsi"/>
          <w:sz w:val="24"/>
          <w:szCs w:val="24"/>
        </w:rPr>
        <w:t>otwarty</w:t>
      </w:r>
      <w:r w:rsidRPr="00266C2A">
        <w:rPr>
          <w:rFonts w:ascii="Lato" w:hAnsi="Lato" w:cstheme="minorHAnsi"/>
          <w:sz w:val="24"/>
          <w:szCs w:val="24"/>
        </w:rPr>
        <w:t xml:space="preserve">, który może </w:t>
      </w:r>
      <w:r w:rsidR="00F9160A" w:rsidRPr="00266C2A">
        <w:rPr>
          <w:rFonts w:ascii="Lato" w:hAnsi="Lato" w:cstheme="minorHAnsi"/>
          <w:sz w:val="24"/>
          <w:szCs w:val="24"/>
        </w:rPr>
        <w:t xml:space="preserve">zostać </w:t>
      </w:r>
      <w:r w:rsidR="00BE2369" w:rsidRPr="00266C2A">
        <w:rPr>
          <w:rFonts w:ascii="Lato" w:hAnsi="Lato" w:cstheme="minorHAnsi"/>
          <w:sz w:val="24"/>
          <w:szCs w:val="24"/>
        </w:rPr>
        <w:t xml:space="preserve">zmieniony lub </w:t>
      </w:r>
      <w:r w:rsidR="00F9160A" w:rsidRPr="00266C2A">
        <w:rPr>
          <w:rFonts w:ascii="Lato" w:hAnsi="Lato" w:cstheme="minorHAnsi"/>
          <w:sz w:val="24"/>
          <w:szCs w:val="24"/>
        </w:rPr>
        <w:t>rozszerzony</w:t>
      </w:r>
      <w:r w:rsidR="00BE2369" w:rsidRPr="00266C2A">
        <w:rPr>
          <w:rFonts w:ascii="Lato" w:hAnsi="Lato" w:cstheme="minorHAnsi"/>
          <w:sz w:val="24"/>
          <w:szCs w:val="24"/>
        </w:rPr>
        <w:t>.</w:t>
      </w:r>
      <w:r w:rsidR="00D977FF" w:rsidRPr="00266C2A">
        <w:rPr>
          <w:rFonts w:ascii="Lato" w:hAnsi="Lato" w:cstheme="minorHAnsi"/>
          <w:sz w:val="24"/>
          <w:szCs w:val="24"/>
        </w:rPr>
        <w:t xml:space="preserve"> </w:t>
      </w:r>
    </w:p>
    <w:p w14:paraId="1F20F58A" w14:textId="7C5C9EE5" w:rsidR="000915E7" w:rsidRPr="00266C2A" w:rsidRDefault="001271A6" w:rsidP="004B450E">
      <w:pPr>
        <w:widowControl w:val="0"/>
        <w:spacing w:before="120" w:after="120" w:line="240" w:lineRule="auto"/>
        <w:rPr>
          <w:rFonts w:ascii="Lato" w:hAnsi="Lato" w:cstheme="minorHAnsi"/>
          <w:sz w:val="24"/>
          <w:szCs w:val="24"/>
        </w:rPr>
      </w:pPr>
      <w:r w:rsidRPr="00266C2A">
        <w:rPr>
          <w:rFonts w:ascii="Lato" w:hAnsi="Lato" w:cstheme="minorHAnsi"/>
          <w:b/>
          <w:bCs/>
          <w:color w:val="FF0000"/>
          <w:sz w:val="24"/>
          <w:szCs w:val="24"/>
          <w:u w:val="single"/>
          <w:lang w:eastAsia="pl-PL"/>
        </w:rPr>
        <w:t>FORMULARZ WDOPO</w:t>
      </w:r>
      <w:r w:rsidR="0042741E" w:rsidRPr="00266C2A">
        <w:rPr>
          <w:rFonts w:ascii="Lato" w:hAnsi="Lato" w:cstheme="minorHAnsi"/>
          <w:b/>
          <w:bCs/>
          <w:color w:val="FF0000"/>
          <w:sz w:val="24"/>
          <w:szCs w:val="24"/>
          <w:u w:val="single"/>
          <w:lang w:eastAsia="pl-PL"/>
        </w:rPr>
        <w:t>01</w:t>
      </w:r>
    </w:p>
    <w:p w14:paraId="410C59B2" w14:textId="77777777" w:rsidR="001271A6" w:rsidRPr="00266C2A" w:rsidRDefault="001271A6" w:rsidP="00EF0489">
      <w:pPr>
        <w:widowControl w:val="0"/>
        <w:spacing w:before="120" w:after="120"/>
        <w:rPr>
          <w:rFonts w:ascii="Lato" w:hAnsi="Lato" w:cstheme="minorHAnsi"/>
          <w:sz w:val="24"/>
          <w:szCs w:val="24"/>
        </w:rPr>
      </w:pPr>
      <w:r w:rsidRPr="00266C2A">
        <w:rPr>
          <w:rFonts w:ascii="Lato" w:hAnsi="Lato" w:cstheme="minorHAnsi"/>
          <w:b/>
          <w:bCs/>
          <w:sz w:val="24"/>
          <w:szCs w:val="24"/>
        </w:rPr>
        <w:t>Zmiany ogólne</w:t>
      </w:r>
      <w:r w:rsidRPr="00266C2A">
        <w:rPr>
          <w:rFonts w:ascii="Lato" w:hAnsi="Lato" w:cstheme="minorHAnsi"/>
          <w:sz w:val="24"/>
          <w:szCs w:val="24"/>
        </w:rPr>
        <w:t>:</w:t>
      </w:r>
    </w:p>
    <w:p w14:paraId="11D9DBA8" w14:textId="386C24B1" w:rsidR="001271A6" w:rsidRPr="00266C2A" w:rsidRDefault="001271A6" w:rsidP="00EF0489">
      <w:pPr>
        <w:widowControl w:val="0"/>
        <w:spacing w:before="120" w:after="120"/>
        <w:rPr>
          <w:rFonts w:ascii="Lato" w:hAnsi="Lato" w:cstheme="minorHAnsi"/>
          <w:color w:val="00B050"/>
          <w:sz w:val="24"/>
          <w:szCs w:val="24"/>
        </w:rPr>
      </w:pPr>
      <w:r w:rsidRPr="00266C2A">
        <w:rPr>
          <w:rFonts w:ascii="Lato" w:hAnsi="Lato" w:cstheme="minorHAnsi"/>
          <w:sz w:val="24"/>
          <w:szCs w:val="24"/>
        </w:rPr>
        <w:t xml:space="preserve">Wszystkie pola typu „numer telefonu” otrzymają maskę na numer telefonu (jak w </w:t>
      </w:r>
      <w:proofErr w:type="spellStart"/>
      <w:r w:rsidRPr="00266C2A">
        <w:rPr>
          <w:rFonts w:ascii="Lato" w:hAnsi="Lato" w:cstheme="minorHAnsi"/>
          <w:sz w:val="24"/>
          <w:szCs w:val="24"/>
        </w:rPr>
        <w:t>eKlient</w:t>
      </w:r>
      <w:proofErr w:type="spellEnd"/>
      <w:r w:rsidRPr="00266C2A">
        <w:rPr>
          <w:rFonts w:ascii="Lato" w:hAnsi="Lato" w:cstheme="minorHAnsi"/>
          <w:sz w:val="24"/>
          <w:szCs w:val="24"/>
        </w:rPr>
        <w:t xml:space="preserve">) </w:t>
      </w:r>
    </w:p>
    <w:p w14:paraId="6DCC7546" w14:textId="4732BB03" w:rsidR="001271A6" w:rsidRPr="00266C2A" w:rsidRDefault="001271A6" w:rsidP="00EF0489">
      <w:pPr>
        <w:widowControl w:val="0"/>
        <w:spacing w:before="120" w:after="120"/>
        <w:rPr>
          <w:rFonts w:ascii="Lato" w:hAnsi="Lato" w:cstheme="minorHAnsi"/>
          <w:color w:val="00B050"/>
          <w:sz w:val="24"/>
          <w:szCs w:val="24"/>
        </w:rPr>
      </w:pPr>
      <w:r w:rsidRPr="00266C2A">
        <w:rPr>
          <w:rFonts w:ascii="Lato" w:hAnsi="Lato" w:cstheme="minorHAnsi"/>
          <w:sz w:val="24"/>
          <w:szCs w:val="24"/>
        </w:rPr>
        <w:t xml:space="preserve">Usunięcie z nazw wszystkich sekcji i pól dopisków typu „(D.1/1)” </w:t>
      </w:r>
    </w:p>
    <w:p w14:paraId="57BBF5F0" w14:textId="36CB54A8" w:rsidR="001271A6" w:rsidRPr="00266C2A" w:rsidRDefault="001271A6" w:rsidP="00EF0489">
      <w:pPr>
        <w:widowControl w:val="0"/>
        <w:spacing w:before="120" w:after="120"/>
        <w:rPr>
          <w:rFonts w:ascii="Lato" w:hAnsi="Lato" w:cstheme="minorHAnsi"/>
          <w:color w:val="00B050"/>
          <w:sz w:val="24"/>
          <w:szCs w:val="24"/>
        </w:rPr>
      </w:pPr>
      <w:r w:rsidRPr="00266C2A">
        <w:rPr>
          <w:rFonts w:ascii="Lato" w:hAnsi="Lato" w:cstheme="minorHAnsi"/>
          <w:sz w:val="24"/>
          <w:szCs w:val="24"/>
        </w:rPr>
        <w:t>Wszystkie sekcje zmiana nazwy pola „Telefon podstawowy” na „Numer telefonu” oraz „Podstawowy adres email” na „Adres email”</w:t>
      </w:r>
      <w:r w:rsidRPr="00266C2A">
        <w:rPr>
          <w:rFonts w:ascii="Lato" w:hAnsi="Lato" w:cstheme="minorHAnsi"/>
          <w:color w:val="00B050"/>
          <w:sz w:val="24"/>
          <w:szCs w:val="24"/>
        </w:rPr>
        <w:t xml:space="preserve"> </w:t>
      </w:r>
    </w:p>
    <w:p w14:paraId="60D6ED99" w14:textId="739C7D3A" w:rsidR="001271A6" w:rsidRPr="00266C2A" w:rsidRDefault="001271A6" w:rsidP="00EF0489">
      <w:pPr>
        <w:widowControl w:val="0"/>
        <w:spacing w:before="120" w:after="120"/>
        <w:rPr>
          <w:rFonts w:ascii="Lato" w:hAnsi="Lato" w:cstheme="minorHAnsi"/>
          <w:color w:val="00B050"/>
          <w:sz w:val="24"/>
          <w:szCs w:val="24"/>
        </w:rPr>
      </w:pPr>
      <w:r w:rsidRPr="00266C2A">
        <w:rPr>
          <w:rFonts w:ascii="Lato" w:hAnsi="Lato" w:cstheme="minorHAnsi"/>
          <w:sz w:val="24"/>
          <w:szCs w:val="24"/>
        </w:rPr>
        <w:t>W polach „Kod identyfikacji towarów” wartości słownikowe wyświetlane będą w sposób uporządkowany 1-8 według kodów (Słownik: Kod - Nazwa).</w:t>
      </w:r>
      <w:r w:rsidRPr="00266C2A">
        <w:rPr>
          <w:rFonts w:ascii="Lato" w:hAnsi="Lato" w:cstheme="minorHAnsi"/>
          <w:color w:val="00B050"/>
          <w:sz w:val="24"/>
          <w:szCs w:val="24"/>
        </w:rPr>
        <w:t xml:space="preserve"> </w:t>
      </w:r>
    </w:p>
    <w:p w14:paraId="5938D050" w14:textId="23226564" w:rsidR="00D25D08" w:rsidRPr="00266C2A" w:rsidRDefault="00D25D08" w:rsidP="00EF0489">
      <w:pPr>
        <w:widowControl w:val="0"/>
        <w:spacing w:before="120" w:after="120"/>
        <w:rPr>
          <w:rFonts w:ascii="Lato" w:hAnsi="Lato" w:cstheme="minorHAnsi"/>
          <w:sz w:val="24"/>
          <w:szCs w:val="24"/>
        </w:rPr>
      </w:pPr>
      <w:r w:rsidRPr="00266C2A">
        <w:rPr>
          <w:rFonts w:ascii="Lato" w:hAnsi="Lato" w:cstheme="minorHAnsi"/>
          <w:sz w:val="24"/>
          <w:szCs w:val="24"/>
        </w:rPr>
        <w:t xml:space="preserve">Zmiana w zakresie przycisku "Usuń" – obecnie pojawia się dla drugiego i kolejnych powtórzeń sekcji i umożliwia usunięcie ostatnio dodanego powtórzenia. Musi być możliwość usunięcia dowolnego dodanego powtórzenia, niezależnie od kolejności dodania powtórzenia.   </w:t>
      </w:r>
    </w:p>
    <w:p w14:paraId="3065F8A0" w14:textId="7F306A87" w:rsidR="001271A6" w:rsidRPr="00266C2A" w:rsidRDefault="0042741E" w:rsidP="00EF0489">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„Dane ogólne wniosku</w:t>
      </w:r>
      <w:r w:rsidR="001271A6" w:rsidRPr="00266C2A">
        <w:rPr>
          <w:rFonts w:ascii="Lato" w:hAnsi="Lato" w:cstheme="minorHAnsi"/>
          <w:sz w:val="24"/>
          <w:szCs w:val="24"/>
        </w:rPr>
        <w:t>”:</w:t>
      </w:r>
    </w:p>
    <w:p w14:paraId="52FFD722" w14:textId="142102DD" w:rsidR="001271A6" w:rsidRPr="00266C2A" w:rsidRDefault="001271A6" w:rsidP="00EF0489">
      <w:pPr>
        <w:widowControl w:val="0"/>
        <w:spacing w:before="120" w:after="120"/>
        <w:rPr>
          <w:rFonts w:ascii="Lato" w:hAnsi="Lato" w:cstheme="minorHAnsi"/>
          <w:sz w:val="24"/>
          <w:szCs w:val="24"/>
        </w:rPr>
      </w:pPr>
      <w:r w:rsidRPr="00266C2A">
        <w:rPr>
          <w:rFonts w:ascii="Lato" w:hAnsi="Lato" w:cstheme="minorHAnsi"/>
          <w:sz w:val="24"/>
          <w:szCs w:val="24"/>
        </w:rPr>
        <w:t>Pole „Geograficzny obszar ważności” (</w:t>
      </w:r>
      <w:proofErr w:type="spellStart"/>
      <w:r w:rsidRPr="00266C2A">
        <w:rPr>
          <w:rFonts w:ascii="Lato" w:hAnsi="Lato" w:cstheme="minorHAnsi"/>
          <w:sz w:val="24"/>
          <w:szCs w:val="24"/>
        </w:rPr>
        <w:t>geogObszarWaznosciKod</w:t>
      </w:r>
      <w:proofErr w:type="spellEnd"/>
      <w:r w:rsidRPr="00266C2A">
        <w:rPr>
          <w:rFonts w:ascii="Lato" w:hAnsi="Lato" w:cstheme="minorHAnsi"/>
          <w:sz w:val="24"/>
          <w:szCs w:val="24"/>
        </w:rPr>
        <w:t xml:space="preserve">) zostanie oparty o słownik PDR 1617 z zawężeniem do jednej wartości o kodzie „3”. Pole będzie prezentowało wartość w formacie „Kod - Nazwa” i będzie polem </w:t>
      </w:r>
      <w:proofErr w:type="spellStart"/>
      <w:r w:rsidRPr="00266C2A">
        <w:rPr>
          <w:rFonts w:ascii="Lato" w:hAnsi="Lato" w:cstheme="minorHAnsi"/>
          <w:sz w:val="24"/>
          <w:szCs w:val="24"/>
        </w:rPr>
        <w:t>read-only</w:t>
      </w:r>
      <w:proofErr w:type="spellEnd"/>
      <w:r w:rsidRPr="00266C2A">
        <w:rPr>
          <w:rFonts w:ascii="Lato" w:hAnsi="Lato" w:cstheme="minorHAnsi"/>
          <w:sz w:val="24"/>
          <w:szCs w:val="24"/>
        </w:rPr>
        <w:t xml:space="preserve">. </w:t>
      </w:r>
    </w:p>
    <w:p w14:paraId="3BED185B" w14:textId="517798B9" w:rsidR="001271A6" w:rsidRPr="00266C2A" w:rsidRDefault="001271A6" w:rsidP="00EF0489">
      <w:pPr>
        <w:widowControl w:val="0"/>
        <w:spacing w:before="120" w:after="120"/>
        <w:rPr>
          <w:rFonts w:ascii="Lato" w:hAnsi="Lato" w:cstheme="minorHAnsi"/>
          <w:sz w:val="24"/>
          <w:szCs w:val="24"/>
        </w:rPr>
      </w:pPr>
      <w:r w:rsidRPr="00266C2A">
        <w:rPr>
          <w:rFonts w:ascii="Lato" w:hAnsi="Lato" w:cstheme="minorHAnsi"/>
          <w:sz w:val="24"/>
          <w:szCs w:val="24"/>
        </w:rPr>
        <w:t>Pole „Geograficzny obszar ważności”; dodanie podpowiedzi o treści: „Pole wypełnia się automatycznie. Wniosek może być kierowany tylko do polskich organów celnych”.</w:t>
      </w:r>
      <w:r w:rsidRPr="00266C2A">
        <w:rPr>
          <w:rFonts w:ascii="Lato" w:hAnsi="Lato" w:cstheme="minorHAnsi"/>
          <w:color w:val="00B050"/>
          <w:sz w:val="24"/>
          <w:szCs w:val="24"/>
        </w:rPr>
        <w:t xml:space="preserve"> </w:t>
      </w:r>
    </w:p>
    <w:p w14:paraId="4AEA73C5" w14:textId="29F2CF11" w:rsidR="001271A6" w:rsidRPr="00266C2A" w:rsidRDefault="001271A6" w:rsidP="00EF0489">
      <w:pPr>
        <w:widowControl w:val="0"/>
        <w:spacing w:before="120" w:after="120"/>
        <w:rPr>
          <w:rFonts w:ascii="Lato" w:hAnsi="Lato" w:cstheme="minorHAnsi"/>
          <w:color w:val="00B050"/>
          <w:sz w:val="24"/>
          <w:szCs w:val="24"/>
        </w:rPr>
      </w:pPr>
      <w:r w:rsidRPr="00266C2A">
        <w:rPr>
          <w:rFonts w:ascii="Lato" w:hAnsi="Lato" w:cstheme="minorHAnsi"/>
          <w:sz w:val="24"/>
          <w:szCs w:val="24"/>
        </w:rPr>
        <w:t xml:space="preserve">Dodanie nowego pola „Kod rodzaju wniosku” ze stałą wartością OPO </w:t>
      </w:r>
      <w:r w:rsidR="0042741E" w:rsidRPr="00266C2A">
        <w:rPr>
          <w:rFonts w:ascii="Lato" w:hAnsi="Lato" w:cstheme="minorHAnsi"/>
          <w:sz w:val="24"/>
          <w:szCs w:val="24"/>
        </w:rPr>
        <w:t xml:space="preserve">lub TEA </w:t>
      </w:r>
      <w:r w:rsidRPr="00266C2A">
        <w:rPr>
          <w:rFonts w:ascii="Lato" w:hAnsi="Lato" w:cstheme="minorHAnsi"/>
          <w:sz w:val="24"/>
          <w:szCs w:val="24"/>
        </w:rPr>
        <w:t>(zależnie od formularza)</w:t>
      </w:r>
      <w:r w:rsidR="004B5DB3" w:rsidRPr="00266C2A">
        <w:rPr>
          <w:rFonts w:ascii="Lato" w:hAnsi="Lato" w:cstheme="minorHAnsi"/>
          <w:sz w:val="24"/>
          <w:szCs w:val="24"/>
        </w:rPr>
        <w:t>.</w:t>
      </w:r>
      <w:r w:rsidRPr="00266C2A">
        <w:rPr>
          <w:rFonts w:ascii="Lato" w:hAnsi="Lato" w:cstheme="minorHAnsi"/>
          <w:color w:val="00B050"/>
          <w:sz w:val="24"/>
          <w:szCs w:val="24"/>
        </w:rPr>
        <w:t xml:space="preserve"> </w:t>
      </w:r>
    </w:p>
    <w:p w14:paraId="1F6824AF" w14:textId="7B70CF9E" w:rsidR="001271A6" w:rsidRPr="00266C2A" w:rsidRDefault="001271A6" w:rsidP="00EF0489">
      <w:pPr>
        <w:widowControl w:val="0"/>
        <w:spacing w:before="120" w:after="120"/>
        <w:rPr>
          <w:rFonts w:ascii="Lato" w:hAnsi="Lato" w:cstheme="minorHAnsi"/>
          <w:sz w:val="24"/>
          <w:szCs w:val="24"/>
        </w:rPr>
      </w:pPr>
      <w:r w:rsidRPr="00266C2A">
        <w:rPr>
          <w:rFonts w:ascii="Lato" w:hAnsi="Lato" w:cstheme="minorHAnsi"/>
          <w:sz w:val="24"/>
          <w:szCs w:val="24"/>
        </w:rPr>
        <w:t xml:space="preserve">Pole „Organ, do którego składa się wniosek” zawężenie listy tylko do „Naczelników Urzędów </w:t>
      </w:r>
      <w:proofErr w:type="spellStart"/>
      <w:r w:rsidRPr="00266C2A">
        <w:rPr>
          <w:rFonts w:ascii="Lato" w:hAnsi="Lato" w:cstheme="minorHAnsi"/>
          <w:sz w:val="24"/>
          <w:szCs w:val="24"/>
        </w:rPr>
        <w:t>Celno</w:t>
      </w:r>
      <w:proofErr w:type="spellEnd"/>
      <w:r w:rsidRPr="00266C2A">
        <w:rPr>
          <w:rFonts w:ascii="Lato" w:hAnsi="Lato" w:cstheme="minorHAnsi"/>
          <w:sz w:val="24"/>
          <w:szCs w:val="24"/>
        </w:rPr>
        <w:t xml:space="preserve">–Skarbowych”, cała lista będzie widoczna po aktywacji pola (bez konieczności wyszukiwania, jak na formularzu AEO). Zmiana nazwy pola na „Organ, do którego składany jest wniosek” </w:t>
      </w:r>
    </w:p>
    <w:p w14:paraId="2A39F90C" w14:textId="09A3D5CF" w:rsidR="001271A6" w:rsidRPr="00266C2A" w:rsidRDefault="0042741E" w:rsidP="00EF0489">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„Wnioskodawca</w:t>
      </w:r>
      <w:r w:rsidR="001271A6" w:rsidRPr="00266C2A">
        <w:rPr>
          <w:rFonts w:ascii="Lato" w:hAnsi="Lato" w:cstheme="minorHAnsi"/>
          <w:sz w:val="24"/>
          <w:szCs w:val="24"/>
        </w:rPr>
        <w:t xml:space="preserve">” </w:t>
      </w:r>
    </w:p>
    <w:p w14:paraId="0D14071F" w14:textId="115E9A24" w:rsidR="001271A6" w:rsidRPr="00266C2A" w:rsidRDefault="001271A6" w:rsidP="00B662FF">
      <w:pPr>
        <w:widowControl w:val="0"/>
        <w:spacing w:before="120" w:after="120" w:line="240" w:lineRule="auto"/>
        <w:rPr>
          <w:rFonts w:ascii="Lato" w:hAnsi="Lato" w:cstheme="minorHAnsi"/>
          <w:sz w:val="24"/>
          <w:szCs w:val="24"/>
        </w:rPr>
      </w:pPr>
      <w:r w:rsidRPr="00266C2A">
        <w:rPr>
          <w:rFonts w:ascii="Lato" w:hAnsi="Lato" w:cstheme="minorHAnsi"/>
          <w:sz w:val="24"/>
          <w:szCs w:val="24"/>
        </w:rPr>
        <w:t>dane w sekcji będą automatycznie uzupełniane danymi podmiotu, w kontekście którego jest zalogowany użytkownik, dane pobrane z PDR będą zablokowane do edycji. Podczas ładowania danych z PDR ze słownika 4003v1 zostanie dodatkowo odpytany słownik 4011V1 w celu pobrania aktywnego numeru AEO</w:t>
      </w:r>
      <w:r w:rsidR="00B662FF" w:rsidRPr="00266C2A">
        <w:rPr>
          <w:rFonts w:ascii="Lato" w:hAnsi="Lato" w:cstheme="minorHAnsi"/>
          <w:sz w:val="24"/>
          <w:szCs w:val="24"/>
        </w:rPr>
        <w:t>.</w:t>
      </w:r>
      <w:r w:rsidRPr="00266C2A">
        <w:rPr>
          <w:rFonts w:ascii="Lato" w:hAnsi="Lato" w:cstheme="minorHAnsi"/>
          <w:sz w:val="24"/>
          <w:szCs w:val="24"/>
        </w:rPr>
        <w:t xml:space="preserve"> </w:t>
      </w:r>
    </w:p>
    <w:p w14:paraId="4B08B438" w14:textId="3A6AD01C" w:rsidR="001271A6" w:rsidRPr="00266C2A" w:rsidRDefault="0042741E" w:rsidP="00B662FF">
      <w:pPr>
        <w:widowControl w:val="0"/>
        <w:spacing w:before="120" w:after="120" w:line="240" w:lineRule="auto"/>
        <w:rPr>
          <w:rFonts w:ascii="Lato" w:hAnsi="Lato" w:cstheme="minorHAnsi"/>
          <w:b/>
          <w:bCs/>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„Dane wniosku”</w:t>
      </w:r>
    </w:p>
    <w:p w14:paraId="27F6A542" w14:textId="754C21A1" w:rsidR="001271A6" w:rsidRPr="00266C2A" w:rsidRDefault="001271A6" w:rsidP="00B662FF">
      <w:pPr>
        <w:widowControl w:val="0"/>
        <w:spacing w:before="120" w:after="120" w:line="240" w:lineRule="auto"/>
        <w:rPr>
          <w:rFonts w:ascii="Lato" w:hAnsi="Lato" w:cstheme="minorHAnsi"/>
          <w:sz w:val="24"/>
          <w:szCs w:val="24"/>
        </w:rPr>
      </w:pPr>
      <w:r w:rsidRPr="00266C2A">
        <w:rPr>
          <w:rFonts w:ascii="Lato" w:hAnsi="Lato" w:cstheme="minorHAnsi"/>
          <w:sz w:val="24"/>
          <w:szCs w:val="24"/>
        </w:rPr>
        <w:lastRenderedPageBreak/>
        <w:t>Pola „Wnioskowana data rozpoczęcia ważności pozwolenia” oraz „Opis wnioskowanej daty rozpoczęcia ważności pozwolenia” będą polami fakultatywnymi (oba pola będą zawsze widoczne na formularzu). Z pól zostanie odpięta reguła R659. Dla wniosku o zmianę, przedłużenie lub cofnięcie pozwolenia pole „Wnioskowana data rozpoczęcia ważności pozwolenia” nie będzie ładowane z PDR (pole pozostanie puste)</w:t>
      </w:r>
      <w:r w:rsidR="00B662FF" w:rsidRPr="00266C2A">
        <w:rPr>
          <w:rFonts w:ascii="Lato" w:hAnsi="Lato" w:cstheme="minorHAnsi"/>
          <w:sz w:val="24"/>
          <w:szCs w:val="24"/>
        </w:rPr>
        <w:t>.</w:t>
      </w:r>
      <w:r w:rsidRPr="00266C2A">
        <w:rPr>
          <w:rFonts w:ascii="Lato" w:hAnsi="Lato" w:cstheme="minorHAnsi"/>
          <w:sz w:val="24"/>
          <w:szCs w:val="24"/>
        </w:rPr>
        <w:t xml:space="preserve"> </w:t>
      </w:r>
    </w:p>
    <w:p w14:paraId="618E8C4B" w14:textId="2CE93A44" w:rsidR="001271A6" w:rsidRPr="00266C2A" w:rsidRDefault="001271A6" w:rsidP="00B662FF">
      <w:pPr>
        <w:widowControl w:val="0"/>
        <w:spacing w:before="120" w:after="120"/>
        <w:rPr>
          <w:rFonts w:ascii="Lato" w:hAnsi="Lato" w:cstheme="minorHAnsi"/>
          <w:sz w:val="24"/>
          <w:szCs w:val="24"/>
        </w:rPr>
      </w:pPr>
      <w:r w:rsidRPr="00266C2A">
        <w:rPr>
          <w:rFonts w:ascii="Lato" w:hAnsi="Lato" w:cstheme="minorHAnsi"/>
          <w:sz w:val="24"/>
          <w:szCs w:val="24"/>
        </w:rPr>
        <w:t xml:space="preserve">Ujednolicenie listy w polu „Rodzaj wniosku”, lista będzie zawierała pozycje: </w:t>
      </w:r>
    </w:p>
    <w:p w14:paraId="34A8F6D5" w14:textId="77777777" w:rsidR="001271A6" w:rsidRPr="00266C2A" w:rsidRDefault="001271A6" w:rsidP="004B450E">
      <w:pPr>
        <w:pStyle w:val="Akapitzlist"/>
        <w:widowControl w:val="0"/>
        <w:numPr>
          <w:ilvl w:val="0"/>
          <w:numId w:val="2"/>
        </w:numPr>
        <w:spacing w:before="120" w:after="120"/>
        <w:rPr>
          <w:rFonts w:ascii="Lato" w:hAnsi="Lato" w:cstheme="minorHAnsi"/>
        </w:rPr>
      </w:pPr>
      <w:r w:rsidRPr="00266C2A">
        <w:rPr>
          <w:rFonts w:ascii="Lato" w:hAnsi="Lato" w:cstheme="minorHAnsi"/>
        </w:rPr>
        <w:t>„1-pierwszy wniosek”;</w:t>
      </w:r>
    </w:p>
    <w:p w14:paraId="51121E32" w14:textId="77777777" w:rsidR="001271A6" w:rsidRPr="00266C2A" w:rsidRDefault="001271A6" w:rsidP="004B450E">
      <w:pPr>
        <w:pStyle w:val="Akapitzlist"/>
        <w:widowControl w:val="0"/>
        <w:numPr>
          <w:ilvl w:val="0"/>
          <w:numId w:val="2"/>
        </w:numPr>
        <w:spacing w:before="120" w:after="120"/>
        <w:rPr>
          <w:rFonts w:ascii="Lato" w:hAnsi="Lato" w:cstheme="minorHAnsi"/>
        </w:rPr>
      </w:pPr>
      <w:r w:rsidRPr="00266C2A">
        <w:rPr>
          <w:rFonts w:ascii="Lato" w:hAnsi="Lato" w:cstheme="minorHAnsi"/>
        </w:rPr>
        <w:t>„2-wniosek w sprawie zmiany pozwolenia”;</w:t>
      </w:r>
    </w:p>
    <w:p w14:paraId="3F1D55AE" w14:textId="77777777" w:rsidR="001271A6" w:rsidRPr="00266C2A" w:rsidRDefault="001271A6" w:rsidP="004B450E">
      <w:pPr>
        <w:pStyle w:val="Akapitzlist"/>
        <w:widowControl w:val="0"/>
        <w:numPr>
          <w:ilvl w:val="0"/>
          <w:numId w:val="2"/>
        </w:numPr>
        <w:spacing w:before="120" w:after="120"/>
        <w:rPr>
          <w:rFonts w:ascii="Lato" w:hAnsi="Lato" w:cstheme="minorHAnsi"/>
        </w:rPr>
      </w:pPr>
      <w:r w:rsidRPr="00266C2A">
        <w:rPr>
          <w:rFonts w:ascii="Lato" w:hAnsi="Lato" w:cstheme="minorHAnsi"/>
        </w:rPr>
        <w:t>„3-wniosek w sprawie przedłużenia pozwolenia”;</w:t>
      </w:r>
    </w:p>
    <w:p w14:paraId="636CD52B" w14:textId="0D9D1E7C" w:rsidR="001271A6" w:rsidRPr="00266C2A" w:rsidRDefault="001271A6" w:rsidP="004B450E">
      <w:pPr>
        <w:pStyle w:val="Akapitzlist"/>
        <w:widowControl w:val="0"/>
        <w:numPr>
          <w:ilvl w:val="0"/>
          <w:numId w:val="2"/>
        </w:numPr>
        <w:spacing w:before="120" w:after="120"/>
        <w:rPr>
          <w:rFonts w:ascii="Lato" w:hAnsi="Lato" w:cstheme="minorHAnsi"/>
        </w:rPr>
      </w:pPr>
      <w:r w:rsidRPr="00266C2A">
        <w:rPr>
          <w:rFonts w:ascii="Lato" w:hAnsi="Lato" w:cstheme="minorHAnsi"/>
        </w:rPr>
        <w:t xml:space="preserve">„4-wniosek w sprawie cofnięcia pozwolenia”. </w:t>
      </w:r>
    </w:p>
    <w:p w14:paraId="233639B2" w14:textId="65BF56BF" w:rsidR="001271A6" w:rsidRPr="00266C2A" w:rsidRDefault="0042741E" w:rsidP="004B450E">
      <w:pPr>
        <w:widowControl w:val="0"/>
        <w:spacing w:before="120" w:after="120" w:line="240" w:lineRule="auto"/>
        <w:rPr>
          <w:rFonts w:ascii="Lato" w:hAnsi="Lato" w:cstheme="minorHAnsi"/>
          <w:sz w:val="24"/>
          <w:szCs w:val="24"/>
        </w:rPr>
      </w:pPr>
      <w:r w:rsidRPr="00266C2A">
        <w:rPr>
          <w:rFonts w:ascii="Lato" w:hAnsi="Lato" w:cstheme="minorHAnsi"/>
          <w:sz w:val="24"/>
          <w:szCs w:val="24"/>
          <w:lang w:eastAsia="ar-SA"/>
        </w:rPr>
        <w:t>Potrzebne wypracowanie stanowiska jak będzie realizowany proces uzupełniania formularzy dotyczących: „2-wniosek w sprawie zmiany pozwolenia”, „3-wniosek w sprawie przedłużenia pozwolenia”, „4-wniosek w sprawie cofnięcia pozwolenia”. Zbudowanie zasilania dodatkowymi danymi z nowymi funkcjonalnościami.</w:t>
      </w:r>
    </w:p>
    <w:p w14:paraId="72502D1D" w14:textId="19A147D3" w:rsidR="001271A6" w:rsidRPr="00266C2A" w:rsidRDefault="0042741E" w:rsidP="00B662FF">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„Przedstawiciele</w:t>
      </w:r>
      <w:r w:rsidR="001271A6" w:rsidRPr="00266C2A">
        <w:rPr>
          <w:rFonts w:ascii="Lato" w:hAnsi="Lato" w:cstheme="minorHAnsi"/>
          <w:sz w:val="24"/>
          <w:szCs w:val="24"/>
        </w:rPr>
        <w:t>”</w:t>
      </w:r>
    </w:p>
    <w:p w14:paraId="08DFAE5F" w14:textId="3F1DB1AB" w:rsidR="001271A6" w:rsidRPr="00266C2A" w:rsidRDefault="001271A6" w:rsidP="00B662FF">
      <w:pPr>
        <w:widowControl w:val="0"/>
        <w:spacing w:before="120" w:after="120" w:line="240" w:lineRule="auto"/>
        <w:rPr>
          <w:rFonts w:ascii="Lato" w:hAnsi="Lato" w:cstheme="minorHAnsi"/>
          <w:sz w:val="24"/>
          <w:szCs w:val="24"/>
        </w:rPr>
      </w:pPr>
      <w:r w:rsidRPr="00266C2A">
        <w:rPr>
          <w:rFonts w:ascii="Lato" w:hAnsi="Lato" w:cstheme="minorHAnsi"/>
          <w:sz w:val="24"/>
          <w:szCs w:val="24"/>
        </w:rPr>
        <w:t xml:space="preserve">Dodanie reguły wymagającej podanie Polskiego adresu przedstawiciela. W przypadku ładowania danych przedstawiciela z PDR jeżeli adres zamieszkania (os. fiz.) lub adres siedziby (podmiot) będzie inny niż PL formularz zablokuje możliwość wskazania takiego przedstawiciela. </w:t>
      </w:r>
    </w:p>
    <w:p w14:paraId="0831174E" w14:textId="2336A09E" w:rsidR="001271A6" w:rsidRPr="00266C2A" w:rsidRDefault="001271A6" w:rsidP="00B662FF">
      <w:pPr>
        <w:widowControl w:val="0"/>
        <w:spacing w:before="120" w:after="120" w:line="240" w:lineRule="auto"/>
        <w:rPr>
          <w:rFonts w:ascii="Lato" w:hAnsi="Lato" w:cstheme="minorHAnsi"/>
          <w:sz w:val="24"/>
          <w:szCs w:val="24"/>
        </w:rPr>
      </w:pPr>
      <w:r w:rsidRPr="00266C2A">
        <w:rPr>
          <w:rFonts w:ascii="Lato" w:hAnsi="Lato" w:cstheme="minorHAnsi"/>
          <w:sz w:val="24"/>
          <w:szCs w:val="24"/>
        </w:rPr>
        <w:t>Zmiana nazwy sekcji na „Przedstawiciel”</w:t>
      </w:r>
      <w:r w:rsidR="004B5DB3" w:rsidRPr="00266C2A">
        <w:rPr>
          <w:rFonts w:ascii="Lato" w:hAnsi="Lato" w:cstheme="minorHAnsi"/>
          <w:sz w:val="24"/>
          <w:szCs w:val="24"/>
        </w:rPr>
        <w:t>.</w:t>
      </w:r>
    </w:p>
    <w:p w14:paraId="5E57C5EE" w14:textId="3B538E23" w:rsidR="001271A6" w:rsidRPr="00266C2A" w:rsidRDefault="001271A6" w:rsidP="00B662FF">
      <w:pPr>
        <w:widowControl w:val="0"/>
        <w:spacing w:before="120" w:after="120" w:line="240" w:lineRule="auto"/>
        <w:rPr>
          <w:rFonts w:ascii="Lato" w:hAnsi="Lato" w:cstheme="minorHAnsi"/>
          <w:sz w:val="24"/>
          <w:szCs w:val="24"/>
        </w:rPr>
      </w:pPr>
      <w:proofErr w:type="spellStart"/>
      <w:r w:rsidRPr="00266C2A">
        <w:rPr>
          <w:rFonts w:ascii="Lato" w:hAnsi="Lato" w:cstheme="minorHAnsi"/>
          <w:sz w:val="24"/>
          <w:szCs w:val="24"/>
        </w:rPr>
        <w:t>Radiobutton</w:t>
      </w:r>
      <w:proofErr w:type="spellEnd"/>
      <w:r w:rsidRPr="00266C2A">
        <w:rPr>
          <w:rFonts w:ascii="Lato" w:hAnsi="Lato" w:cstheme="minorHAnsi"/>
          <w:sz w:val="24"/>
          <w:szCs w:val="24"/>
        </w:rPr>
        <w:t xml:space="preserve"> „Wybierz rodzaj przedstawiciela” zmiana nazwy opcji „Brak przedstawiciela” na „Bez przedstawiciela”</w:t>
      </w:r>
      <w:r w:rsidR="00B662FF" w:rsidRPr="00266C2A">
        <w:rPr>
          <w:rFonts w:ascii="Lato" w:hAnsi="Lato" w:cstheme="minorHAnsi"/>
          <w:sz w:val="24"/>
          <w:szCs w:val="24"/>
        </w:rPr>
        <w:t>.</w:t>
      </w:r>
      <w:r w:rsidRPr="00266C2A">
        <w:rPr>
          <w:rFonts w:ascii="Lato" w:hAnsi="Lato" w:cstheme="minorHAnsi"/>
          <w:color w:val="00B050"/>
          <w:sz w:val="24"/>
          <w:szCs w:val="24"/>
        </w:rPr>
        <w:t xml:space="preserve"> </w:t>
      </w:r>
    </w:p>
    <w:p w14:paraId="09EA39CE" w14:textId="1405CFF9" w:rsidR="001271A6" w:rsidRPr="00266C2A" w:rsidRDefault="0042741E" w:rsidP="00B662FF">
      <w:pPr>
        <w:widowControl w:val="0"/>
        <w:spacing w:before="120" w:after="120" w:line="240" w:lineRule="auto"/>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„Osoba do kontaktu odpowiedzialna za wniosek</w:t>
      </w:r>
      <w:r w:rsidR="001271A6" w:rsidRPr="00266C2A">
        <w:rPr>
          <w:rFonts w:ascii="Lato" w:hAnsi="Lato" w:cstheme="minorHAnsi"/>
          <w:sz w:val="24"/>
          <w:szCs w:val="24"/>
        </w:rPr>
        <w:t>” – wszystkie dane w sekcji zawsze będą wymagane, sekcja będzie prezentowana bez przycisków [Dodaj/Usuń]</w:t>
      </w:r>
      <w:r w:rsidR="004B5DB3" w:rsidRPr="00266C2A">
        <w:rPr>
          <w:rFonts w:ascii="Lato" w:hAnsi="Lato" w:cstheme="minorHAnsi"/>
          <w:sz w:val="24"/>
          <w:szCs w:val="24"/>
        </w:rPr>
        <w:t>.</w:t>
      </w:r>
      <w:r w:rsidR="001271A6" w:rsidRPr="00266C2A">
        <w:rPr>
          <w:rFonts w:ascii="Lato" w:hAnsi="Lato" w:cstheme="minorHAnsi"/>
          <w:color w:val="00B050"/>
          <w:sz w:val="24"/>
          <w:szCs w:val="24"/>
        </w:rPr>
        <w:t xml:space="preserve">  </w:t>
      </w:r>
      <w:r w:rsidR="001271A6" w:rsidRPr="00266C2A">
        <w:rPr>
          <w:rFonts w:ascii="Lato" w:hAnsi="Lato" w:cstheme="minorHAnsi"/>
          <w:sz w:val="24"/>
          <w:szCs w:val="24"/>
        </w:rPr>
        <w:t>Wstążka domyślnie rozwinięta. Zmiana etykiet w dwóch polach: numer telefonu, adres e-mail.</w:t>
      </w:r>
    </w:p>
    <w:p w14:paraId="2B6CB291" w14:textId="439E50D1" w:rsidR="001271A6" w:rsidRPr="00266C2A" w:rsidRDefault="0042741E" w:rsidP="00B662FF">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„Miejsce, w którym są prowadzone lub dostępne główne księgi rachunkowe na potrzeby celne i ich rodzaj</w:t>
      </w:r>
      <w:r w:rsidR="001271A6" w:rsidRPr="00266C2A">
        <w:rPr>
          <w:rFonts w:ascii="Lato" w:hAnsi="Lato" w:cstheme="minorHAnsi"/>
          <w:sz w:val="24"/>
          <w:szCs w:val="24"/>
        </w:rPr>
        <w:t xml:space="preserve">” </w:t>
      </w:r>
    </w:p>
    <w:p w14:paraId="040B2FD5" w14:textId="31561545" w:rsidR="001271A6" w:rsidRPr="00266C2A" w:rsidRDefault="001271A6" w:rsidP="00B662FF">
      <w:pPr>
        <w:widowControl w:val="0"/>
        <w:spacing w:before="120" w:after="120"/>
        <w:rPr>
          <w:rFonts w:ascii="Lato" w:hAnsi="Lato" w:cstheme="minorHAnsi"/>
          <w:color w:val="00B050"/>
          <w:sz w:val="24"/>
          <w:szCs w:val="24"/>
        </w:rPr>
      </w:pPr>
      <w:r w:rsidRPr="00266C2A">
        <w:rPr>
          <w:rFonts w:ascii="Lato" w:hAnsi="Lato" w:cstheme="minorHAnsi"/>
          <w:sz w:val="24"/>
          <w:szCs w:val="24"/>
        </w:rPr>
        <w:t>Pole kraj będzie przyjmowało wartość „Polska” bez możliwości zmiany.</w:t>
      </w:r>
      <w:r w:rsidRPr="00266C2A">
        <w:rPr>
          <w:rFonts w:ascii="Lato" w:hAnsi="Lato" w:cstheme="minorHAnsi"/>
          <w:color w:val="00B050"/>
          <w:sz w:val="24"/>
          <w:szCs w:val="24"/>
        </w:rPr>
        <w:t xml:space="preserve"> </w:t>
      </w:r>
    </w:p>
    <w:p w14:paraId="3C36B8F9" w14:textId="2C54001B" w:rsidR="001271A6" w:rsidRPr="00266C2A" w:rsidRDefault="001271A6" w:rsidP="00B662FF">
      <w:pPr>
        <w:widowControl w:val="0"/>
        <w:spacing w:before="120" w:after="120"/>
        <w:rPr>
          <w:rFonts w:ascii="Lato" w:hAnsi="Lato" w:cstheme="minorHAnsi"/>
          <w:color w:val="00B050"/>
          <w:sz w:val="24"/>
          <w:szCs w:val="24"/>
        </w:rPr>
      </w:pPr>
      <w:r w:rsidRPr="00266C2A">
        <w:rPr>
          <w:rFonts w:ascii="Lato" w:hAnsi="Lato" w:cstheme="minorHAnsi"/>
          <w:sz w:val="24"/>
          <w:szCs w:val="24"/>
        </w:rPr>
        <w:t>Zmiana nazwy sekcji z „Miejsce, w którym są prowadzone lub dostępne główne księgi rachunkowe na potrzeby celne i ich rodzaj” na „Rodzaj głównych ksiąg rachunkowych na potrzeby celne oraz miejsce, w którym są one prowadzone lub dostępne”</w:t>
      </w:r>
      <w:r w:rsidR="00B662FF" w:rsidRPr="00266C2A">
        <w:rPr>
          <w:rFonts w:ascii="Lato" w:hAnsi="Lato" w:cstheme="minorHAnsi"/>
          <w:sz w:val="24"/>
          <w:szCs w:val="24"/>
        </w:rPr>
        <w:t>.</w:t>
      </w:r>
      <w:r w:rsidRPr="00266C2A">
        <w:rPr>
          <w:rFonts w:ascii="Lato" w:hAnsi="Lato" w:cstheme="minorHAnsi"/>
          <w:sz w:val="24"/>
          <w:szCs w:val="24"/>
        </w:rPr>
        <w:t xml:space="preserve"> </w:t>
      </w:r>
    </w:p>
    <w:p w14:paraId="1A6303F2" w14:textId="1BB3B120" w:rsidR="001271A6" w:rsidRPr="00266C2A" w:rsidRDefault="001271A6" w:rsidP="00B662FF">
      <w:pPr>
        <w:widowControl w:val="0"/>
        <w:spacing w:before="120" w:after="120"/>
        <w:rPr>
          <w:rFonts w:ascii="Lato" w:hAnsi="Lato" w:cstheme="minorHAnsi"/>
          <w:sz w:val="24"/>
          <w:szCs w:val="24"/>
        </w:rPr>
      </w:pPr>
      <w:r w:rsidRPr="00266C2A">
        <w:rPr>
          <w:rFonts w:ascii="Lato" w:hAnsi="Lato" w:cstheme="minorHAnsi"/>
          <w:sz w:val="24"/>
          <w:szCs w:val="24"/>
        </w:rPr>
        <w:t>Sekcja dla typu wniosku innego niż nowy</w:t>
      </w:r>
      <w:r w:rsidRPr="00266C2A">
        <w:rPr>
          <w:rFonts w:ascii="Lato" w:hAnsi="Lato" w:cstheme="minorHAnsi"/>
          <w:color w:val="00B050"/>
          <w:sz w:val="24"/>
          <w:szCs w:val="24"/>
        </w:rPr>
        <w:t xml:space="preserve"> </w:t>
      </w:r>
      <w:r w:rsidRPr="00266C2A">
        <w:rPr>
          <w:rFonts w:ascii="Lato" w:hAnsi="Lato" w:cstheme="minorHAnsi"/>
          <w:sz w:val="24"/>
          <w:szCs w:val="24"/>
        </w:rPr>
        <w:t>będzie ukryta.</w:t>
      </w:r>
      <w:r w:rsidRPr="00266C2A">
        <w:rPr>
          <w:rFonts w:ascii="Lato" w:hAnsi="Lato" w:cstheme="minorHAnsi"/>
          <w:color w:val="FF0000"/>
          <w:sz w:val="24"/>
          <w:szCs w:val="24"/>
        </w:rPr>
        <w:t xml:space="preserve"> </w:t>
      </w:r>
    </w:p>
    <w:p w14:paraId="53049024" w14:textId="2AAD2145" w:rsidR="001271A6" w:rsidRPr="00266C2A" w:rsidRDefault="00244353" w:rsidP="00B662FF">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„Miejsce prowadzenia ewidencj</w:t>
      </w:r>
      <w:r w:rsidR="001271A6" w:rsidRPr="00266C2A">
        <w:rPr>
          <w:rFonts w:ascii="Lato" w:hAnsi="Lato" w:cstheme="minorHAnsi"/>
          <w:b/>
          <w:sz w:val="24"/>
          <w:szCs w:val="24"/>
        </w:rPr>
        <w:t>i oraz jej rodzaj</w:t>
      </w:r>
      <w:r w:rsidR="001271A6" w:rsidRPr="00266C2A">
        <w:rPr>
          <w:rFonts w:ascii="Lato" w:hAnsi="Lato" w:cstheme="minorHAnsi"/>
          <w:sz w:val="24"/>
          <w:szCs w:val="24"/>
        </w:rPr>
        <w:t xml:space="preserve">”: </w:t>
      </w:r>
    </w:p>
    <w:p w14:paraId="711A8B8B" w14:textId="4496E76C" w:rsidR="001271A6" w:rsidRPr="00266C2A" w:rsidRDefault="001271A6" w:rsidP="00B662FF">
      <w:pPr>
        <w:widowControl w:val="0"/>
        <w:spacing w:before="120" w:after="120"/>
        <w:rPr>
          <w:rFonts w:ascii="Lato" w:hAnsi="Lato" w:cstheme="minorHAnsi"/>
          <w:sz w:val="24"/>
          <w:szCs w:val="24"/>
        </w:rPr>
      </w:pPr>
      <w:r w:rsidRPr="00266C2A">
        <w:rPr>
          <w:rFonts w:ascii="Lato" w:hAnsi="Lato" w:cstheme="minorHAnsi"/>
          <w:sz w:val="24"/>
          <w:szCs w:val="24"/>
        </w:rPr>
        <w:t>Podsekcja „Miejsce prowadzenia ewidencji” pole kraj będzie przyjmowało wartość „Polska” bez możliwości zmiany.</w:t>
      </w:r>
      <w:r w:rsidRPr="00266C2A">
        <w:rPr>
          <w:rFonts w:ascii="Lato" w:hAnsi="Lato" w:cstheme="minorHAnsi"/>
          <w:color w:val="00B050"/>
          <w:sz w:val="24"/>
          <w:szCs w:val="24"/>
        </w:rPr>
        <w:t xml:space="preserve"> </w:t>
      </w:r>
    </w:p>
    <w:p w14:paraId="226844DD" w14:textId="622BB539" w:rsidR="001271A6" w:rsidRPr="00266C2A" w:rsidRDefault="001271A6" w:rsidP="00B662FF">
      <w:pPr>
        <w:widowControl w:val="0"/>
        <w:spacing w:before="120" w:after="120"/>
        <w:rPr>
          <w:rFonts w:ascii="Lato" w:hAnsi="Lato" w:cstheme="minorHAnsi"/>
          <w:sz w:val="24"/>
          <w:szCs w:val="24"/>
        </w:rPr>
      </w:pPr>
      <w:r w:rsidRPr="00266C2A">
        <w:rPr>
          <w:rFonts w:ascii="Lato" w:hAnsi="Lato" w:cstheme="minorHAnsi"/>
          <w:sz w:val="24"/>
          <w:szCs w:val="24"/>
        </w:rPr>
        <w:t>Zmiana nazwy sekcji z „Miejsce prowadzenia ewidencji oraz jej rodzaj” na „Rodzaj ewidencji oraz miejsce jej prowadzenia”</w:t>
      </w:r>
      <w:r w:rsidRPr="00266C2A">
        <w:rPr>
          <w:rFonts w:ascii="Lato" w:hAnsi="Lato" w:cstheme="minorHAnsi"/>
          <w:color w:val="00B050"/>
          <w:sz w:val="24"/>
          <w:szCs w:val="24"/>
        </w:rPr>
        <w:t xml:space="preserve"> </w:t>
      </w:r>
    </w:p>
    <w:p w14:paraId="1526A562" w14:textId="0E21B8AA" w:rsidR="001271A6" w:rsidRPr="00266C2A" w:rsidRDefault="001271A6" w:rsidP="00B662FF">
      <w:pPr>
        <w:widowControl w:val="0"/>
        <w:spacing w:before="120" w:after="120"/>
        <w:rPr>
          <w:rFonts w:ascii="Lato" w:hAnsi="Lato" w:cstheme="minorHAnsi"/>
          <w:sz w:val="24"/>
          <w:szCs w:val="24"/>
        </w:rPr>
      </w:pPr>
      <w:r w:rsidRPr="00266C2A">
        <w:rPr>
          <w:rFonts w:ascii="Lato" w:hAnsi="Lato" w:cstheme="minorHAnsi"/>
          <w:sz w:val="24"/>
          <w:szCs w:val="24"/>
        </w:rPr>
        <w:t>Sekcja dla typu wniosku innego niż nowy będzie ukryta.</w:t>
      </w:r>
    </w:p>
    <w:p w14:paraId="456417D7" w14:textId="1B270F09" w:rsidR="001271A6" w:rsidRPr="00266C2A" w:rsidRDefault="00244353" w:rsidP="00B662FF">
      <w:pPr>
        <w:widowControl w:val="0"/>
        <w:spacing w:before="120" w:after="120"/>
        <w:rPr>
          <w:rFonts w:ascii="Lato" w:hAnsi="Lato" w:cstheme="minorHAnsi"/>
          <w:sz w:val="24"/>
          <w:szCs w:val="24"/>
        </w:rPr>
      </w:pPr>
      <w:r w:rsidRPr="00266C2A">
        <w:rPr>
          <w:rFonts w:ascii="Lato" w:hAnsi="Lato" w:cstheme="minorHAnsi"/>
          <w:b/>
          <w:bCs/>
          <w:sz w:val="24"/>
          <w:szCs w:val="24"/>
        </w:rPr>
        <w:lastRenderedPageBreak/>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„Miejsce (miejsca) przetwarzania lub wykorzystania</w:t>
      </w:r>
      <w:r w:rsidR="001271A6" w:rsidRPr="00266C2A">
        <w:rPr>
          <w:rFonts w:ascii="Lato" w:hAnsi="Lato" w:cstheme="minorHAnsi"/>
          <w:sz w:val="24"/>
          <w:szCs w:val="24"/>
        </w:rPr>
        <w:t>”</w:t>
      </w:r>
    </w:p>
    <w:p w14:paraId="2BF365FA" w14:textId="2CE077AA" w:rsidR="001271A6" w:rsidRPr="00266C2A" w:rsidRDefault="00244353" w:rsidP="00B662FF">
      <w:pPr>
        <w:widowControl w:val="0"/>
        <w:spacing w:before="120" w:after="120"/>
        <w:rPr>
          <w:rFonts w:ascii="Lato" w:hAnsi="Lato" w:cstheme="minorHAnsi"/>
          <w:color w:val="00B050"/>
          <w:sz w:val="24"/>
          <w:szCs w:val="24"/>
        </w:rPr>
      </w:pPr>
      <w:r w:rsidRPr="00266C2A">
        <w:rPr>
          <w:rFonts w:ascii="Lato" w:hAnsi="Lato" w:cstheme="minorHAnsi"/>
          <w:sz w:val="24"/>
          <w:szCs w:val="24"/>
        </w:rPr>
        <w:t>W</w:t>
      </w:r>
      <w:r w:rsidR="001271A6" w:rsidRPr="00266C2A">
        <w:rPr>
          <w:rFonts w:ascii="Lato" w:hAnsi="Lato" w:cstheme="minorHAnsi"/>
          <w:sz w:val="24"/>
          <w:szCs w:val="24"/>
        </w:rPr>
        <w:t xml:space="preserve"> podsekcji „Adres lokalizacji” zostanie dodane nowe pole tekstowe o nazwie „Nazwa” (an..512)</w:t>
      </w:r>
      <w:r w:rsidR="004B5DB3" w:rsidRPr="00266C2A">
        <w:rPr>
          <w:rFonts w:ascii="Lato" w:hAnsi="Lato" w:cstheme="minorHAnsi"/>
          <w:color w:val="00B050"/>
          <w:sz w:val="24"/>
          <w:szCs w:val="24"/>
        </w:rPr>
        <w:t>.</w:t>
      </w:r>
    </w:p>
    <w:p w14:paraId="339BFD9D" w14:textId="494E6759" w:rsidR="001271A6" w:rsidRPr="00266C2A" w:rsidRDefault="00244353" w:rsidP="00B662FF">
      <w:pPr>
        <w:widowControl w:val="0"/>
        <w:spacing w:before="120" w:after="120"/>
        <w:rPr>
          <w:rFonts w:ascii="Lato" w:hAnsi="Lato" w:cstheme="minorHAnsi"/>
          <w:color w:val="00B050"/>
          <w:sz w:val="24"/>
          <w:szCs w:val="24"/>
        </w:rPr>
      </w:pPr>
      <w:r w:rsidRPr="00266C2A">
        <w:rPr>
          <w:rFonts w:ascii="Lato" w:hAnsi="Lato" w:cstheme="minorHAnsi"/>
          <w:sz w:val="24"/>
          <w:szCs w:val="24"/>
        </w:rPr>
        <w:t>U</w:t>
      </w:r>
      <w:r w:rsidR="001271A6" w:rsidRPr="00266C2A">
        <w:rPr>
          <w:rFonts w:ascii="Lato" w:hAnsi="Lato" w:cstheme="minorHAnsi"/>
          <w:sz w:val="24"/>
          <w:szCs w:val="24"/>
        </w:rPr>
        <w:t>sunięcie przycisku [Zatwierdź] powiązanego z polem Identyfikacja lokalizacji – usunięcie mechanizmu ładowania adresu lokalizacji.</w:t>
      </w:r>
      <w:r w:rsidR="001271A6" w:rsidRPr="00266C2A">
        <w:rPr>
          <w:rFonts w:ascii="Lato" w:hAnsi="Lato" w:cstheme="minorHAnsi"/>
          <w:color w:val="00B050"/>
          <w:sz w:val="24"/>
          <w:szCs w:val="24"/>
        </w:rPr>
        <w:t xml:space="preserve"> </w:t>
      </w:r>
    </w:p>
    <w:p w14:paraId="025D490E" w14:textId="13E5B91A" w:rsidR="001271A6" w:rsidRPr="00266C2A" w:rsidRDefault="001271A6" w:rsidP="00B662FF">
      <w:pPr>
        <w:widowControl w:val="0"/>
        <w:spacing w:before="120" w:after="120"/>
        <w:rPr>
          <w:rFonts w:ascii="Lato" w:hAnsi="Lato" w:cstheme="minorHAnsi"/>
          <w:sz w:val="24"/>
          <w:szCs w:val="24"/>
        </w:rPr>
      </w:pPr>
      <w:r w:rsidRPr="00266C2A">
        <w:rPr>
          <w:rFonts w:ascii="Lato" w:hAnsi="Lato" w:cstheme="minorHAnsi"/>
          <w:sz w:val="24"/>
          <w:szCs w:val="24"/>
        </w:rPr>
        <w:t xml:space="preserve">Pole „Kraj” będzie zablokowane do edycji oraz będzie przyjmowało wartość zgodną z kodem kraju wskazanym w polu „Kod kraju lokalizacji” </w:t>
      </w:r>
      <w:r w:rsidR="004B5DB3" w:rsidRPr="00266C2A">
        <w:rPr>
          <w:rFonts w:ascii="Lato" w:hAnsi="Lato" w:cstheme="minorHAnsi"/>
          <w:sz w:val="24"/>
          <w:szCs w:val="24"/>
        </w:rPr>
        <w:t>.</w:t>
      </w:r>
    </w:p>
    <w:p w14:paraId="30A73DD1" w14:textId="77777777" w:rsidR="004B5DB3" w:rsidRPr="00266C2A" w:rsidRDefault="00244353" w:rsidP="00B662FF">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„Urząd celny, urzędy celne objęcia</w:t>
      </w:r>
      <w:r w:rsidR="001271A6" w:rsidRPr="00266C2A">
        <w:rPr>
          <w:rFonts w:ascii="Lato" w:hAnsi="Lato" w:cstheme="minorHAnsi"/>
          <w:sz w:val="24"/>
          <w:szCs w:val="24"/>
        </w:rPr>
        <w:t xml:space="preserve">” </w:t>
      </w:r>
    </w:p>
    <w:p w14:paraId="51B760F4" w14:textId="528D16F7" w:rsidR="001271A6" w:rsidRPr="00266C2A" w:rsidRDefault="004B5DB3" w:rsidP="00B662FF">
      <w:pPr>
        <w:widowControl w:val="0"/>
        <w:spacing w:before="120" w:after="120"/>
        <w:rPr>
          <w:rFonts w:ascii="Lato" w:hAnsi="Lato" w:cstheme="minorHAnsi"/>
          <w:sz w:val="24"/>
          <w:szCs w:val="24"/>
        </w:rPr>
      </w:pPr>
      <w:r w:rsidRPr="00266C2A">
        <w:rPr>
          <w:rFonts w:ascii="Lato" w:hAnsi="Lato" w:cstheme="minorHAnsi"/>
          <w:sz w:val="24"/>
          <w:szCs w:val="24"/>
        </w:rPr>
        <w:t>P</w:t>
      </w:r>
      <w:r w:rsidR="001271A6" w:rsidRPr="00266C2A">
        <w:rPr>
          <w:rFonts w:ascii="Lato" w:hAnsi="Lato" w:cstheme="minorHAnsi"/>
          <w:sz w:val="24"/>
          <w:szCs w:val="24"/>
        </w:rPr>
        <w:t xml:space="preserve">odpięcie nowego słownika widokowego PDR z oddziałami celnymi CUDO. </w:t>
      </w:r>
      <w:r w:rsidR="003F41C2" w:rsidRPr="00266C2A">
        <w:rPr>
          <w:rFonts w:ascii="Lato" w:hAnsi="Lato" w:cstheme="minorHAnsi"/>
          <w:sz w:val="24"/>
          <w:szCs w:val="24"/>
        </w:rPr>
        <w:t>Właściwy słownik zostanie wskazany</w:t>
      </w:r>
      <w:r w:rsidR="001271A6" w:rsidRPr="00266C2A">
        <w:rPr>
          <w:rFonts w:ascii="Lato" w:hAnsi="Lato" w:cstheme="minorHAnsi"/>
          <w:sz w:val="24"/>
          <w:szCs w:val="24"/>
        </w:rPr>
        <w:t xml:space="preserve">. W sekcji zostanie dodany mechanizm blokujący możliwość wprowadzenia zduplikowanych wartości.  </w:t>
      </w:r>
    </w:p>
    <w:p w14:paraId="424980EB" w14:textId="77777777" w:rsidR="004B5DB3" w:rsidRPr="00266C2A" w:rsidRDefault="00244353" w:rsidP="00B662FF">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„Urząd celny, urzędy celne zamknięcia</w:t>
      </w:r>
      <w:r w:rsidR="001271A6" w:rsidRPr="00266C2A">
        <w:rPr>
          <w:rFonts w:ascii="Lato" w:hAnsi="Lato" w:cstheme="minorHAnsi"/>
          <w:sz w:val="24"/>
          <w:szCs w:val="24"/>
        </w:rPr>
        <w:t>”</w:t>
      </w:r>
    </w:p>
    <w:p w14:paraId="7DBFF5CF" w14:textId="6BBCC801" w:rsidR="001271A6" w:rsidRPr="00266C2A" w:rsidRDefault="004B5DB3" w:rsidP="00B662FF">
      <w:pPr>
        <w:widowControl w:val="0"/>
        <w:spacing w:before="120" w:after="120"/>
        <w:rPr>
          <w:rFonts w:ascii="Lato" w:hAnsi="Lato" w:cstheme="minorHAnsi"/>
          <w:sz w:val="24"/>
          <w:szCs w:val="24"/>
        </w:rPr>
      </w:pPr>
      <w:r w:rsidRPr="00266C2A">
        <w:rPr>
          <w:rFonts w:ascii="Lato" w:hAnsi="Lato" w:cstheme="minorHAnsi"/>
          <w:sz w:val="24"/>
          <w:szCs w:val="24"/>
        </w:rPr>
        <w:t>P</w:t>
      </w:r>
      <w:r w:rsidR="001271A6" w:rsidRPr="00266C2A">
        <w:rPr>
          <w:rFonts w:ascii="Lato" w:hAnsi="Lato" w:cstheme="minorHAnsi"/>
          <w:sz w:val="24"/>
          <w:szCs w:val="24"/>
        </w:rPr>
        <w:t xml:space="preserve">odpięcie nowego słownika widokowego PDR z oddziałami celnymi CUDO. W sekcji zostanie dodany mechanizm blokujący możliwość wprowadzenia zduplikowanych wartości.  </w:t>
      </w:r>
    </w:p>
    <w:p w14:paraId="620E8D13" w14:textId="690E2420" w:rsidR="001271A6" w:rsidRPr="00266C2A" w:rsidRDefault="00244353" w:rsidP="00B662FF">
      <w:pPr>
        <w:widowControl w:val="0"/>
        <w:spacing w:before="120" w:after="120"/>
        <w:rPr>
          <w:rFonts w:ascii="Lato" w:hAnsi="Lato" w:cstheme="minorHAnsi"/>
          <w:color w:val="00B050"/>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„Termin zamknięcia procedury</w:t>
      </w:r>
      <w:r w:rsidR="001271A6" w:rsidRPr="00266C2A">
        <w:rPr>
          <w:rFonts w:ascii="Lato" w:hAnsi="Lato" w:cstheme="minorHAnsi"/>
          <w:sz w:val="24"/>
          <w:szCs w:val="24"/>
        </w:rPr>
        <w:t xml:space="preserve">” pole „Opis dodatkowy” będzie zawsze widoczne. </w:t>
      </w:r>
    </w:p>
    <w:p w14:paraId="6346FD1F" w14:textId="783C1679" w:rsidR="001271A6" w:rsidRPr="00266C2A" w:rsidRDefault="00244353" w:rsidP="00B662FF">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„Towary, które mają zostać objęte procedurą</w:t>
      </w:r>
      <w:r w:rsidR="001271A6" w:rsidRPr="00266C2A">
        <w:rPr>
          <w:rFonts w:ascii="Lato" w:hAnsi="Lato" w:cstheme="minorHAnsi"/>
          <w:sz w:val="24"/>
          <w:szCs w:val="24"/>
        </w:rPr>
        <w:t>”</w:t>
      </w:r>
    </w:p>
    <w:p w14:paraId="35698BB1" w14:textId="2B3DD851" w:rsidR="001271A6" w:rsidRPr="00266C2A" w:rsidRDefault="001271A6" w:rsidP="00B662FF">
      <w:pPr>
        <w:widowControl w:val="0"/>
        <w:spacing w:before="120" w:after="120"/>
        <w:rPr>
          <w:rFonts w:ascii="Lato" w:hAnsi="Lato" w:cstheme="minorHAnsi"/>
          <w:color w:val="00B050"/>
        </w:rPr>
      </w:pPr>
      <w:r w:rsidRPr="00266C2A">
        <w:rPr>
          <w:rFonts w:ascii="Lato" w:hAnsi="Lato" w:cstheme="minorHAnsi"/>
        </w:rPr>
        <w:t>Dodanie obligatoryjnych pól per towar: „Kod identyfikacji towarów” z wartościami ze słownika PDR180 (z wykluczeniem kodu 8</w:t>
      </w:r>
      <w:r w:rsidRPr="00266C2A">
        <w:rPr>
          <w:rFonts w:ascii="Lato" w:hAnsi="Lato" w:cstheme="minorHAnsi"/>
          <w:color w:val="00B050"/>
        </w:rPr>
        <w:t xml:space="preserve"> </w:t>
      </w:r>
      <w:r w:rsidRPr="00266C2A">
        <w:rPr>
          <w:rFonts w:ascii="Lato" w:hAnsi="Lato" w:cstheme="minorHAnsi"/>
        </w:rPr>
        <w:t xml:space="preserve">w przypadku OPO. Kod 8 jest w przypadku TEA.) oraz pola tekstowego „Opis sposobu identyfikacji”. </w:t>
      </w:r>
    </w:p>
    <w:p w14:paraId="2D20E1B0" w14:textId="4CEC7D99" w:rsidR="001271A6" w:rsidRPr="00266C2A" w:rsidRDefault="001271A6" w:rsidP="00B662FF">
      <w:pPr>
        <w:widowControl w:val="0"/>
        <w:spacing w:before="120" w:after="120"/>
        <w:rPr>
          <w:rFonts w:ascii="Lato" w:hAnsi="Lato" w:cstheme="minorHAnsi"/>
          <w:color w:val="00B050"/>
        </w:rPr>
      </w:pPr>
      <w:r w:rsidRPr="00266C2A">
        <w:rPr>
          <w:rFonts w:ascii="Lato" w:hAnsi="Lato" w:cstheme="minorHAnsi"/>
        </w:rPr>
        <w:t xml:space="preserve">Pole „Kod towaru” będzie umożliwiało wprowadzenie kodu o długości od 4 do 10 cyfr. </w:t>
      </w:r>
    </w:p>
    <w:p w14:paraId="617EF55A" w14:textId="6DA74F1A" w:rsidR="001271A6" w:rsidRPr="00266C2A" w:rsidRDefault="001271A6" w:rsidP="00B662FF">
      <w:pPr>
        <w:widowControl w:val="0"/>
        <w:spacing w:before="120" w:after="120"/>
        <w:rPr>
          <w:rFonts w:ascii="Lato" w:hAnsi="Lato" w:cstheme="minorHAnsi"/>
        </w:rPr>
      </w:pPr>
      <w:r w:rsidRPr="00266C2A">
        <w:rPr>
          <w:rFonts w:ascii="Lato" w:hAnsi="Lato" w:cstheme="minorHAnsi"/>
        </w:rPr>
        <w:t>Pole „Opis towarów” będzie polem obligatoryjnym</w:t>
      </w:r>
    </w:p>
    <w:p w14:paraId="5E97646C" w14:textId="00FF89BE" w:rsidR="001271A6" w:rsidRPr="00266C2A" w:rsidRDefault="001271A6" w:rsidP="00B662FF">
      <w:pPr>
        <w:widowControl w:val="0"/>
        <w:spacing w:before="120" w:after="120"/>
        <w:rPr>
          <w:rFonts w:ascii="Lato" w:hAnsi="Lato" w:cstheme="minorHAnsi"/>
        </w:rPr>
      </w:pPr>
      <w:r w:rsidRPr="00266C2A">
        <w:rPr>
          <w:rFonts w:ascii="Lato" w:hAnsi="Lato" w:cstheme="minorHAnsi"/>
        </w:rPr>
        <w:t>Zmiana nazwy podsekcji „Wartość i waluta towaru” na „Wartość i waluta towarów”</w:t>
      </w:r>
    </w:p>
    <w:p w14:paraId="70F45E32" w14:textId="4BA8EA33" w:rsidR="001271A6" w:rsidRPr="00266C2A" w:rsidRDefault="001271A6" w:rsidP="00B662FF">
      <w:pPr>
        <w:widowControl w:val="0"/>
        <w:spacing w:before="120" w:after="120"/>
        <w:rPr>
          <w:rFonts w:ascii="Lato" w:hAnsi="Lato" w:cstheme="minorHAnsi"/>
        </w:rPr>
      </w:pPr>
      <w:r w:rsidRPr="00266C2A">
        <w:rPr>
          <w:rFonts w:ascii="Lato" w:hAnsi="Lato" w:cstheme="minorHAnsi"/>
        </w:rPr>
        <w:t xml:space="preserve">Pole „Jednostka miary” prezentowane będą w formacie „Kod - Nazwa”, pole będzie umożliwiało wyszukiwanie jednostek – możliwość wyszukania zarówno po skrócie jak i po nazwie. </w:t>
      </w:r>
    </w:p>
    <w:p w14:paraId="69CE91A2" w14:textId="13BDAD16" w:rsidR="001271A6" w:rsidRPr="00266C2A" w:rsidRDefault="001271A6" w:rsidP="00B662FF">
      <w:pPr>
        <w:widowControl w:val="0"/>
        <w:spacing w:before="120" w:after="120"/>
        <w:rPr>
          <w:rFonts w:ascii="Lato" w:hAnsi="Lato" w:cstheme="minorHAnsi"/>
        </w:rPr>
      </w:pPr>
      <w:r w:rsidRPr="00266C2A">
        <w:rPr>
          <w:rFonts w:ascii="Lato" w:hAnsi="Lato" w:cstheme="minorHAnsi"/>
        </w:rPr>
        <w:t xml:space="preserve">Pole „Kod towaru” – wprowadzenie sprawdzenia czy ciąg cyfr wpisywany przez podmiot w tym polu jest zgodny ze słownikiem 028 (na przykład: jeśli w słowniku jest ciąg 10 znaków, a podmiot chce wpisać 8 cyfr, to system uznaje, że 8 znaków jest zgodnych i nie oczekuje dalszego ciągu i nie blokuje działania podmiotu). </w:t>
      </w:r>
    </w:p>
    <w:p w14:paraId="3FCE77E2" w14:textId="1B3CD9A3" w:rsidR="001271A6" w:rsidRPr="00266C2A" w:rsidRDefault="00244353" w:rsidP="00B662FF">
      <w:pPr>
        <w:widowControl w:val="0"/>
        <w:spacing w:before="120" w:after="120" w:line="240" w:lineRule="auto"/>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„Towary ekwiwalentne</w:t>
      </w:r>
      <w:r w:rsidR="001271A6" w:rsidRPr="00266C2A">
        <w:rPr>
          <w:rFonts w:ascii="Lato" w:hAnsi="Lato" w:cstheme="minorHAnsi"/>
          <w:sz w:val="24"/>
          <w:szCs w:val="24"/>
        </w:rPr>
        <w:t>”</w:t>
      </w:r>
    </w:p>
    <w:p w14:paraId="6ED9F8A2" w14:textId="19E49639" w:rsidR="001271A6" w:rsidRPr="00266C2A" w:rsidRDefault="001271A6" w:rsidP="00B662FF">
      <w:pPr>
        <w:widowControl w:val="0"/>
        <w:spacing w:before="120" w:after="120"/>
        <w:rPr>
          <w:rFonts w:ascii="Lato" w:hAnsi="Lato" w:cstheme="minorHAnsi"/>
          <w:sz w:val="24"/>
          <w:szCs w:val="24"/>
        </w:rPr>
      </w:pPr>
      <w:r w:rsidRPr="00266C2A">
        <w:rPr>
          <w:rFonts w:ascii="Lato" w:hAnsi="Lato" w:cstheme="minorHAnsi"/>
          <w:sz w:val="24"/>
          <w:szCs w:val="24"/>
        </w:rPr>
        <w:t>Dodanie obligatoryjnych pól per towar: „Kod identyfikacji towarów” z wartościami ze słownika PDR180 (z wykluczeniem kodu 8</w:t>
      </w:r>
      <w:r w:rsidRPr="00266C2A">
        <w:rPr>
          <w:rFonts w:ascii="Lato" w:hAnsi="Lato" w:cstheme="minorHAnsi"/>
          <w:color w:val="00B050"/>
          <w:sz w:val="24"/>
          <w:szCs w:val="24"/>
        </w:rPr>
        <w:t xml:space="preserve"> </w:t>
      </w:r>
      <w:r w:rsidRPr="00266C2A">
        <w:rPr>
          <w:rFonts w:ascii="Lato" w:hAnsi="Lato" w:cstheme="minorHAnsi"/>
          <w:sz w:val="24"/>
          <w:szCs w:val="24"/>
        </w:rPr>
        <w:t>w przypadku OPO. Kod 8 jest w przypadku TEA będzie wyświetlany.)</w:t>
      </w:r>
      <w:r w:rsidR="00244353" w:rsidRPr="00266C2A">
        <w:rPr>
          <w:rFonts w:ascii="Lato" w:hAnsi="Lato" w:cstheme="minorHAnsi"/>
          <w:sz w:val="24"/>
          <w:szCs w:val="24"/>
        </w:rPr>
        <w:t xml:space="preserve"> </w:t>
      </w:r>
      <w:r w:rsidRPr="00266C2A">
        <w:rPr>
          <w:rFonts w:ascii="Lato" w:hAnsi="Lato" w:cstheme="minorHAnsi"/>
          <w:sz w:val="24"/>
          <w:szCs w:val="24"/>
        </w:rPr>
        <w:t xml:space="preserve">oraz pola tekstowego „Opis sposobu identyfikacji”. </w:t>
      </w:r>
    </w:p>
    <w:p w14:paraId="3B244F65" w14:textId="6239F057" w:rsidR="001271A6" w:rsidRPr="00266C2A" w:rsidRDefault="001271A6" w:rsidP="00B662FF">
      <w:pPr>
        <w:widowControl w:val="0"/>
        <w:spacing w:before="120" w:after="120"/>
        <w:rPr>
          <w:rFonts w:ascii="Lato" w:hAnsi="Lato" w:cstheme="minorHAnsi"/>
          <w:sz w:val="24"/>
          <w:szCs w:val="24"/>
        </w:rPr>
      </w:pPr>
      <w:r w:rsidRPr="00266C2A">
        <w:rPr>
          <w:rFonts w:ascii="Lato" w:hAnsi="Lato" w:cstheme="minorHAnsi"/>
          <w:sz w:val="24"/>
          <w:szCs w:val="24"/>
        </w:rPr>
        <w:t xml:space="preserve">Pole „Kod towaru” będzie umożliwiało wprowadzenie kodu o długości równej 8 cyfr. </w:t>
      </w:r>
    </w:p>
    <w:p w14:paraId="7B06A8EF" w14:textId="63C61F65" w:rsidR="001271A6" w:rsidRPr="00266C2A" w:rsidRDefault="001271A6" w:rsidP="00B662FF">
      <w:pPr>
        <w:widowControl w:val="0"/>
        <w:spacing w:before="120" w:after="120"/>
        <w:rPr>
          <w:rFonts w:ascii="Lato" w:hAnsi="Lato" w:cstheme="minorHAnsi"/>
          <w:sz w:val="24"/>
          <w:szCs w:val="24"/>
        </w:rPr>
      </w:pPr>
      <w:r w:rsidRPr="00266C2A">
        <w:rPr>
          <w:rFonts w:ascii="Lato" w:hAnsi="Lato" w:cstheme="minorHAnsi"/>
          <w:sz w:val="24"/>
          <w:szCs w:val="24"/>
        </w:rPr>
        <w:t xml:space="preserve">Pole „Kod towaru” – wprowadzenie sprawdzenia czy ciąg cyfr wpisywany przez podmiot w tym polu jest zgodny ze słownikiem 028 (na przykład: jeśli w słowniku jest ciąg 10 znaków, a podmiot chce wpisać 8 cyfr, to system uznaje, że 8 znaków jest </w:t>
      </w:r>
      <w:r w:rsidRPr="00266C2A">
        <w:rPr>
          <w:rFonts w:ascii="Lato" w:hAnsi="Lato" w:cstheme="minorHAnsi"/>
          <w:sz w:val="24"/>
          <w:szCs w:val="24"/>
        </w:rPr>
        <w:lastRenderedPageBreak/>
        <w:t xml:space="preserve">zgodnych (bo tylko 8 znaków można wpisać w to pole) i odcina pozostałe znaki zostawiając ośmiocyfrową wartość). </w:t>
      </w:r>
    </w:p>
    <w:p w14:paraId="13EF606E" w14:textId="7099A164" w:rsidR="001271A6" w:rsidRPr="00266C2A" w:rsidRDefault="001271A6" w:rsidP="00B662FF">
      <w:pPr>
        <w:widowControl w:val="0"/>
        <w:spacing w:before="120" w:after="120"/>
        <w:rPr>
          <w:rFonts w:ascii="Lato" w:hAnsi="Lato" w:cstheme="minorHAnsi"/>
          <w:sz w:val="24"/>
          <w:szCs w:val="24"/>
        </w:rPr>
      </w:pPr>
      <w:r w:rsidRPr="00266C2A">
        <w:rPr>
          <w:rFonts w:ascii="Lato" w:hAnsi="Lato" w:cstheme="minorHAnsi"/>
          <w:sz w:val="24"/>
          <w:szCs w:val="24"/>
        </w:rPr>
        <w:t>Zmiana nazwy podsekcji „Towar ekwiwalenty” na „Towary ekwiwalentne”</w:t>
      </w:r>
      <w:r w:rsidR="004B5DB3" w:rsidRPr="00266C2A">
        <w:rPr>
          <w:rFonts w:ascii="Lato" w:hAnsi="Lato" w:cstheme="minorHAnsi"/>
          <w:sz w:val="24"/>
          <w:szCs w:val="24"/>
        </w:rPr>
        <w:t>.</w:t>
      </w:r>
    </w:p>
    <w:p w14:paraId="5110A024" w14:textId="223FA97A" w:rsidR="001271A6" w:rsidRPr="00266C2A" w:rsidRDefault="00D25D08" w:rsidP="00B662FF">
      <w:pPr>
        <w:widowControl w:val="0"/>
        <w:spacing w:before="120" w:after="120"/>
        <w:rPr>
          <w:rFonts w:ascii="Lato" w:hAnsi="Lato" w:cstheme="minorHAnsi"/>
          <w:b/>
          <w:bCs/>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„Warunki ekonomiczne”, dodanie obligatoryjności do pola „Opis” </w:t>
      </w:r>
    </w:p>
    <w:p w14:paraId="740999D5" w14:textId="5EE82609" w:rsidR="001271A6" w:rsidRPr="00266C2A" w:rsidRDefault="00D25D08" w:rsidP="00B662FF">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„System standardowej wymiany</w:t>
      </w:r>
      <w:r w:rsidR="001271A6" w:rsidRPr="00266C2A">
        <w:rPr>
          <w:rFonts w:ascii="Lato" w:hAnsi="Lato" w:cstheme="minorHAnsi"/>
          <w:sz w:val="24"/>
          <w:szCs w:val="24"/>
        </w:rPr>
        <w:t xml:space="preserve">” </w:t>
      </w:r>
    </w:p>
    <w:p w14:paraId="2F5F6875" w14:textId="325BC337" w:rsidR="001271A6" w:rsidRPr="00266C2A" w:rsidRDefault="00D25D08" w:rsidP="00B662FF">
      <w:pPr>
        <w:widowControl w:val="0"/>
        <w:spacing w:before="120" w:after="120"/>
        <w:rPr>
          <w:rFonts w:ascii="Lato" w:hAnsi="Lato" w:cstheme="minorHAnsi"/>
          <w:sz w:val="24"/>
          <w:szCs w:val="24"/>
        </w:rPr>
      </w:pPr>
      <w:r w:rsidRPr="00266C2A">
        <w:rPr>
          <w:rFonts w:ascii="Lato" w:hAnsi="Lato" w:cstheme="minorHAnsi"/>
          <w:sz w:val="24"/>
          <w:szCs w:val="24"/>
        </w:rPr>
        <w:t xml:space="preserve">W </w:t>
      </w:r>
      <w:r w:rsidR="001271A6" w:rsidRPr="00266C2A">
        <w:rPr>
          <w:rFonts w:ascii="Lato" w:hAnsi="Lato" w:cstheme="minorHAnsi"/>
          <w:sz w:val="24"/>
          <w:szCs w:val="24"/>
        </w:rPr>
        <w:t>Podsekcj</w:t>
      </w:r>
      <w:r w:rsidRPr="00266C2A">
        <w:rPr>
          <w:rFonts w:ascii="Lato" w:hAnsi="Lato" w:cstheme="minorHAnsi"/>
          <w:sz w:val="24"/>
          <w:szCs w:val="24"/>
        </w:rPr>
        <w:t>i</w:t>
      </w:r>
      <w:r w:rsidR="001271A6" w:rsidRPr="00266C2A">
        <w:rPr>
          <w:rFonts w:ascii="Lato" w:hAnsi="Lato" w:cstheme="minorHAnsi"/>
          <w:sz w:val="24"/>
          <w:szCs w:val="24"/>
        </w:rPr>
        <w:t xml:space="preserve"> Produkty zamienne: </w:t>
      </w:r>
    </w:p>
    <w:p w14:paraId="7A370F84" w14:textId="063963CA" w:rsidR="001271A6" w:rsidRPr="00266C2A" w:rsidRDefault="001271A6" w:rsidP="00B662FF">
      <w:pPr>
        <w:widowControl w:val="0"/>
        <w:spacing w:before="120" w:after="120"/>
        <w:rPr>
          <w:rFonts w:ascii="Lato" w:hAnsi="Lato" w:cstheme="minorHAnsi"/>
          <w:color w:val="00B050"/>
          <w:sz w:val="24"/>
          <w:szCs w:val="24"/>
        </w:rPr>
      </w:pPr>
      <w:r w:rsidRPr="00266C2A">
        <w:rPr>
          <w:rFonts w:ascii="Lato" w:hAnsi="Lato" w:cstheme="minorHAnsi"/>
          <w:sz w:val="24"/>
          <w:szCs w:val="24"/>
        </w:rPr>
        <w:t xml:space="preserve">Dodanie obligatoryjnego pola tekstowego „Opis sposobu identyfikacji” per towar. </w:t>
      </w:r>
    </w:p>
    <w:p w14:paraId="2D5B31F1" w14:textId="74395B09" w:rsidR="001271A6" w:rsidRPr="00266C2A" w:rsidRDefault="001271A6" w:rsidP="00B662FF">
      <w:pPr>
        <w:widowControl w:val="0"/>
        <w:spacing w:before="120" w:after="120"/>
        <w:rPr>
          <w:rFonts w:ascii="Lato" w:hAnsi="Lato" w:cstheme="minorHAnsi"/>
          <w:color w:val="00B050"/>
          <w:sz w:val="24"/>
          <w:szCs w:val="24"/>
        </w:rPr>
      </w:pPr>
      <w:r w:rsidRPr="00266C2A">
        <w:rPr>
          <w:rFonts w:ascii="Lato" w:hAnsi="Lato" w:cstheme="minorHAnsi"/>
          <w:sz w:val="24"/>
          <w:szCs w:val="24"/>
        </w:rPr>
        <w:t>Pole „Kod” zmiana nazwy „Kod identyfikacji towarów” oraz ograniczenie listy dostępnych kodów ze słownika PDR180 do następujących kodów: 4, 5 oraz 7. Wartości w polu będą prezentowane w formacie „Kod – Nazwa”.</w:t>
      </w:r>
      <w:r w:rsidRPr="00266C2A">
        <w:rPr>
          <w:rFonts w:ascii="Lato" w:hAnsi="Lato" w:cstheme="minorHAnsi"/>
          <w:color w:val="00B050"/>
          <w:sz w:val="24"/>
          <w:szCs w:val="24"/>
        </w:rPr>
        <w:t xml:space="preserve"> </w:t>
      </w:r>
    </w:p>
    <w:p w14:paraId="1E97AF1D" w14:textId="77777777"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Pole „Kod identyfikacji produktów zamiennych” zmiana nazwy pola „Kod towaru” dodatkowo pole będzie umożliwiało wprowadzenie kodu o długości równej 8 cyfr. </w:t>
      </w:r>
    </w:p>
    <w:p w14:paraId="3C25A6BB" w14:textId="0FB1510C"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Pole „Kod towaru” – wprowadzenie sprawdzenia czy ciąg cyfr wpisywany przez podmiot w tym polu jest zgodny ze słownikiem 028 (na przykład: jeśli w słowniku jest ciąg 10 znaków, a podmiot chce wpisać 8 cyfr, to system uznaje, że 8 znaków jest zgodnych (bo tylko 8 znaków można wpisać w to pole) i odcina pozostałe znaki zostawiając ośmiocyfrową wartość). </w:t>
      </w:r>
    </w:p>
    <w:p w14:paraId="665537F7" w14:textId="312DD57B" w:rsidR="001271A6" w:rsidRPr="00266C2A" w:rsidRDefault="001271A6" w:rsidP="001B6ECB">
      <w:pPr>
        <w:widowControl w:val="0"/>
        <w:spacing w:before="120" w:after="120"/>
        <w:rPr>
          <w:rFonts w:ascii="Lato" w:hAnsi="Lato" w:cstheme="minorHAnsi"/>
          <w:color w:val="00B050"/>
          <w:sz w:val="24"/>
          <w:szCs w:val="24"/>
        </w:rPr>
      </w:pPr>
      <w:r w:rsidRPr="00266C2A">
        <w:rPr>
          <w:rFonts w:ascii="Lato" w:hAnsi="Lato" w:cstheme="minorHAnsi"/>
          <w:sz w:val="24"/>
          <w:szCs w:val="24"/>
        </w:rPr>
        <w:t xml:space="preserve">Pola „Rodzaj systemu standardowej wymiany” oraz „Opis systemu standardowej wymiany” będą wyświetlane i obligatoryjne, jeżeli w polu „Czy planowane korzystanie z systemu standardowej wymiany?” wybrano wartość „Tak” </w:t>
      </w:r>
    </w:p>
    <w:p w14:paraId="6E50F38B" w14:textId="4F7C92B2" w:rsidR="001271A6" w:rsidRPr="00266C2A" w:rsidRDefault="00D25D08"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W </w:t>
      </w:r>
      <w:r w:rsidR="001271A6" w:rsidRPr="00266C2A">
        <w:rPr>
          <w:rFonts w:ascii="Lato" w:hAnsi="Lato" w:cstheme="minorHAnsi"/>
          <w:sz w:val="24"/>
          <w:szCs w:val="24"/>
        </w:rPr>
        <w:t>Podsekcj</w:t>
      </w:r>
      <w:r w:rsidRPr="00266C2A">
        <w:rPr>
          <w:rFonts w:ascii="Lato" w:hAnsi="Lato" w:cstheme="minorHAnsi"/>
          <w:sz w:val="24"/>
          <w:szCs w:val="24"/>
        </w:rPr>
        <w:t>i</w:t>
      </w:r>
      <w:r w:rsidR="001271A6" w:rsidRPr="00266C2A">
        <w:rPr>
          <w:rFonts w:ascii="Lato" w:hAnsi="Lato" w:cstheme="minorHAnsi"/>
          <w:sz w:val="24"/>
          <w:szCs w:val="24"/>
        </w:rPr>
        <w:t xml:space="preserve"> „Uprzedni przywóz produktów zamiennych”:</w:t>
      </w:r>
    </w:p>
    <w:p w14:paraId="329BFC28" w14:textId="3B8F4621"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Pole „Termin w miesiącach” będzie widoczne i obowiązkowe, jeżeli w polu „Czy planowany uprzedni przywóz produktów zamiennych?” wybrano opcję „Tak”</w:t>
      </w:r>
    </w:p>
    <w:p w14:paraId="78E262E4" w14:textId="68E1C4AF" w:rsidR="001271A6" w:rsidRPr="00266C2A" w:rsidRDefault="00D25D08" w:rsidP="001B6ECB">
      <w:pPr>
        <w:widowControl w:val="0"/>
        <w:spacing w:before="120" w:after="120"/>
        <w:rPr>
          <w:rFonts w:ascii="Lato" w:hAnsi="Lato" w:cstheme="minorHAnsi"/>
        </w:rPr>
      </w:pPr>
      <w:r w:rsidRPr="00266C2A">
        <w:rPr>
          <w:rFonts w:ascii="Lato" w:hAnsi="Lato" w:cstheme="minorHAnsi"/>
          <w:b/>
          <w:bCs/>
        </w:rPr>
        <w:t xml:space="preserve">W </w:t>
      </w:r>
      <w:r w:rsidR="001271A6" w:rsidRPr="00266C2A">
        <w:rPr>
          <w:rFonts w:ascii="Lato" w:hAnsi="Lato" w:cstheme="minorHAnsi"/>
          <w:b/>
          <w:bCs/>
        </w:rPr>
        <w:t>Sekcj</w:t>
      </w:r>
      <w:r w:rsidRPr="00266C2A">
        <w:rPr>
          <w:rFonts w:ascii="Lato" w:hAnsi="Lato" w:cstheme="minorHAnsi"/>
          <w:b/>
          <w:bCs/>
        </w:rPr>
        <w:t>i</w:t>
      </w:r>
      <w:r w:rsidR="001271A6" w:rsidRPr="00266C2A">
        <w:rPr>
          <w:rFonts w:ascii="Lato" w:hAnsi="Lato" w:cstheme="minorHAnsi"/>
          <w:b/>
          <w:bCs/>
        </w:rPr>
        <w:t xml:space="preserve"> „Produkty przetworzone</w:t>
      </w:r>
      <w:r w:rsidR="001271A6" w:rsidRPr="00266C2A">
        <w:rPr>
          <w:rFonts w:ascii="Lato" w:hAnsi="Lato" w:cstheme="minorHAnsi"/>
        </w:rPr>
        <w:t>”</w:t>
      </w:r>
    </w:p>
    <w:p w14:paraId="1FF8B4D9" w14:textId="77777777" w:rsidR="001271A6" w:rsidRPr="00266C2A" w:rsidRDefault="001271A6" w:rsidP="001B6ECB">
      <w:pPr>
        <w:widowControl w:val="0"/>
        <w:spacing w:before="120" w:after="120"/>
        <w:rPr>
          <w:rFonts w:ascii="Lato" w:hAnsi="Lato" w:cstheme="minorHAnsi"/>
        </w:rPr>
      </w:pPr>
      <w:r w:rsidRPr="00266C2A">
        <w:rPr>
          <w:rFonts w:ascii="Lato" w:hAnsi="Lato" w:cstheme="minorHAnsi"/>
        </w:rPr>
        <w:t xml:space="preserve">Pole „Kod towaru” będzie umożliwiało wprowadzenie kodu o długości od 4 do 8 cyfr. </w:t>
      </w:r>
    </w:p>
    <w:p w14:paraId="233EB197" w14:textId="384367C8" w:rsidR="001271A6" w:rsidRPr="00266C2A" w:rsidRDefault="001271A6" w:rsidP="001B6ECB">
      <w:pPr>
        <w:widowControl w:val="0"/>
        <w:spacing w:before="120" w:after="120"/>
        <w:rPr>
          <w:rFonts w:ascii="Lato" w:hAnsi="Lato" w:cstheme="minorHAnsi"/>
        </w:rPr>
      </w:pPr>
      <w:r w:rsidRPr="00266C2A">
        <w:rPr>
          <w:rFonts w:ascii="Lato" w:hAnsi="Lato" w:cstheme="minorHAnsi"/>
        </w:rPr>
        <w:t xml:space="preserve">Pole „Kod towaru” – wprowadzenie sprawdzenia czy ciąg cyfr wpisywany przez podmiot w tym polu jest zgodny ze słownikiem 028 (na przykład: jeśli w słowniku jest ciąg 10 znaków, a podmiot chce wpisać 8 cyfr, to system uznaje, że 8 znaków jest zgodnych i nie oczekuje dalszego ciągu i nie blokuje działania podmiotu). </w:t>
      </w:r>
    </w:p>
    <w:p w14:paraId="3B7212DA" w14:textId="19816453" w:rsidR="001271A6" w:rsidRPr="00266C2A" w:rsidRDefault="00D25D08" w:rsidP="001B6ECB">
      <w:pPr>
        <w:widowControl w:val="0"/>
        <w:spacing w:before="120" w:after="120"/>
        <w:rPr>
          <w:rFonts w:ascii="Lato" w:hAnsi="Lato" w:cstheme="minorHAnsi"/>
        </w:rPr>
      </w:pPr>
      <w:r w:rsidRPr="00266C2A">
        <w:rPr>
          <w:rFonts w:ascii="Lato" w:hAnsi="Lato" w:cstheme="minorHAnsi"/>
          <w:b/>
          <w:bCs/>
        </w:rPr>
        <w:t xml:space="preserve">W </w:t>
      </w:r>
      <w:r w:rsidR="001271A6" w:rsidRPr="00266C2A">
        <w:rPr>
          <w:rFonts w:ascii="Lato" w:hAnsi="Lato" w:cstheme="minorHAnsi"/>
          <w:b/>
          <w:bCs/>
        </w:rPr>
        <w:t>Sekcj</w:t>
      </w:r>
      <w:r w:rsidRPr="00266C2A">
        <w:rPr>
          <w:rFonts w:ascii="Lato" w:hAnsi="Lato" w:cstheme="minorHAnsi"/>
          <w:b/>
          <w:bCs/>
        </w:rPr>
        <w:t>i</w:t>
      </w:r>
      <w:r w:rsidR="001271A6" w:rsidRPr="00266C2A">
        <w:rPr>
          <w:rFonts w:ascii="Lato" w:hAnsi="Lato" w:cstheme="minorHAnsi"/>
          <w:b/>
          <w:bCs/>
        </w:rPr>
        <w:t xml:space="preserve"> „Uprzedni przywóz produktów przetworzonych</w:t>
      </w:r>
      <w:r w:rsidR="001271A6" w:rsidRPr="00266C2A">
        <w:rPr>
          <w:rFonts w:ascii="Lato" w:hAnsi="Lato" w:cstheme="minorHAnsi"/>
        </w:rPr>
        <w:t xml:space="preserve"> (UB IM/EX)”:</w:t>
      </w:r>
    </w:p>
    <w:p w14:paraId="2249FABB" w14:textId="25576938" w:rsidR="001271A6" w:rsidRPr="00266C2A" w:rsidRDefault="001271A6" w:rsidP="001B6ECB">
      <w:pPr>
        <w:widowControl w:val="0"/>
        <w:spacing w:before="120" w:after="120"/>
        <w:rPr>
          <w:rFonts w:ascii="Lato" w:hAnsi="Lato" w:cstheme="minorHAnsi"/>
          <w:color w:val="00B050"/>
        </w:rPr>
      </w:pPr>
      <w:r w:rsidRPr="00266C2A">
        <w:rPr>
          <w:rFonts w:ascii="Lato" w:hAnsi="Lato" w:cstheme="minorHAnsi"/>
        </w:rPr>
        <w:t xml:space="preserve">Pole „Termin w miesiącach” będzie widoczne i obowiązkowe, jeżeli w polu „Czy planowany uprzedni przywóz produktów przetworzonych?” wybrano opcję „Tak” </w:t>
      </w:r>
    </w:p>
    <w:p w14:paraId="0B24A0FE" w14:textId="6377E59D" w:rsidR="001271A6" w:rsidRPr="00266C2A" w:rsidRDefault="001271A6" w:rsidP="001B6ECB">
      <w:pPr>
        <w:widowControl w:val="0"/>
        <w:spacing w:before="120" w:after="120"/>
        <w:rPr>
          <w:rFonts w:ascii="Lato" w:hAnsi="Lato" w:cstheme="minorHAnsi"/>
        </w:rPr>
      </w:pPr>
      <w:r w:rsidRPr="00266C2A">
        <w:rPr>
          <w:rFonts w:ascii="Lato" w:hAnsi="Lato" w:cstheme="minorHAnsi"/>
        </w:rPr>
        <w:t xml:space="preserve">Cała sekcja zostanie przeniesiona poniżej sekcji „System standardowej wymiany”. </w:t>
      </w:r>
    </w:p>
    <w:p w14:paraId="5462CC2A" w14:textId="77777777" w:rsidR="003B41F9" w:rsidRPr="00266C2A" w:rsidRDefault="003B41F9" w:rsidP="001B6ECB">
      <w:pPr>
        <w:widowControl w:val="0"/>
        <w:spacing w:before="120" w:after="120" w:line="240" w:lineRule="auto"/>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„Szczegółowe informacje dotyczące planowanych działań</w:t>
      </w:r>
      <w:r w:rsidR="001271A6" w:rsidRPr="00266C2A">
        <w:rPr>
          <w:rFonts w:ascii="Lato" w:hAnsi="Lato" w:cstheme="minorHAnsi"/>
          <w:sz w:val="24"/>
          <w:szCs w:val="24"/>
        </w:rPr>
        <w:t xml:space="preserve">” </w:t>
      </w:r>
    </w:p>
    <w:p w14:paraId="3000A7D4" w14:textId="3209C737" w:rsidR="001271A6" w:rsidRPr="00266C2A" w:rsidRDefault="003B41F9" w:rsidP="001B6ECB">
      <w:pPr>
        <w:widowControl w:val="0"/>
        <w:spacing w:before="120" w:after="120" w:line="240" w:lineRule="auto"/>
        <w:rPr>
          <w:rFonts w:ascii="Lato" w:hAnsi="Lato" w:cstheme="minorHAnsi"/>
          <w:sz w:val="24"/>
          <w:szCs w:val="24"/>
        </w:rPr>
      </w:pPr>
      <w:r w:rsidRPr="00266C2A">
        <w:rPr>
          <w:rFonts w:ascii="Lato" w:hAnsi="Lato" w:cstheme="minorHAnsi"/>
          <w:sz w:val="24"/>
          <w:szCs w:val="24"/>
        </w:rPr>
        <w:t>D</w:t>
      </w:r>
      <w:r w:rsidR="001271A6" w:rsidRPr="00266C2A">
        <w:rPr>
          <w:rFonts w:ascii="Lato" w:hAnsi="Lato" w:cstheme="minorHAnsi"/>
          <w:sz w:val="24"/>
          <w:szCs w:val="24"/>
        </w:rPr>
        <w:t>odanie dwóch pól</w:t>
      </w:r>
      <w:r w:rsidR="001271A6" w:rsidRPr="00266C2A">
        <w:rPr>
          <w:rFonts w:ascii="Lato" w:hAnsi="Lato" w:cstheme="minorHAnsi"/>
          <w:color w:val="00B050"/>
          <w:sz w:val="24"/>
          <w:szCs w:val="24"/>
        </w:rPr>
        <w:t xml:space="preserve"> </w:t>
      </w:r>
      <w:r w:rsidR="001271A6" w:rsidRPr="00266C2A">
        <w:rPr>
          <w:rFonts w:ascii="Lato" w:hAnsi="Lato" w:cstheme="minorHAnsi"/>
          <w:sz w:val="24"/>
          <w:szCs w:val="24"/>
        </w:rPr>
        <w:t xml:space="preserve">„Czy stosowanie dokumentu INF?” oraz „Czy stosowane inne środki elektronicznej wymiany niż INF?”; każde pole z </w:t>
      </w:r>
      <w:proofErr w:type="spellStart"/>
      <w:r w:rsidR="001271A6" w:rsidRPr="00266C2A">
        <w:rPr>
          <w:rFonts w:ascii="Lato" w:hAnsi="Lato" w:cstheme="minorHAnsi"/>
          <w:sz w:val="24"/>
          <w:szCs w:val="24"/>
        </w:rPr>
        <w:t>radiobutton</w:t>
      </w:r>
      <w:proofErr w:type="spellEnd"/>
      <w:r w:rsidR="001271A6" w:rsidRPr="00266C2A">
        <w:rPr>
          <w:rFonts w:ascii="Lato" w:hAnsi="Lato" w:cstheme="minorHAnsi"/>
          <w:sz w:val="24"/>
          <w:szCs w:val="24"/>
        </w:rPr>
        <w:t xml:space="preserve"> (Tak/Nie).</w:t>
      </w:r>
    </w:p>
    <w:p w14:paraId="61FB6644" w14:textId="551DAC4B" w:rsidR="001271A6" w:rsidRPr="00266C2A" w:rsidRDefault="003B41F9" w:rsidP="001B6ECB">
      <w:pPr>
        <w:widowControl w:val="0"/>
        <w:spacing w:before="120" w:after="120"/>
        <w:rPr>
          <w:rFonts w:ascii="Lato" w:hAnsi="Lato" w:cstheme="minorHAnsi"/>
          <w:sz w:val="24"/>
          <w:szCs w:val="24"/>
        </w:rPr>
      </w:pPr>
      <w:r w:rsidRPr="00266C2A">
        <w:rPr>
          <w:rFonts w:ascii="Lato" w:hAnsi="Lato" w:cstheme="minorHAnsi"/>
          <w:b/>
          <w:bCs/>
          <w:sz w:val="24"/>
          <w:szCs w:val="24"/>
        </w:rPr>
        <w:t>W S</w:t>
      </w:r>
      <w:r w:rsidR="001271A6" w:rsidRPr="00266C2A">
        <w:rPr>
          <w:rFonts w:ascii="Lato" w:hAnsi="Lato" w:cstheme="minorHAnsi"/>
          <w:b/>
          <w:bCs/>
          <w:sz w:val="24"/>
          <w:szCs w:val="24"/>
        </w:rPr>
        <w:t>ekcj</w:t>
      </w:r>
      <w:r w:rsidRPr="00266C2A">
        <w:rPr>
          <w:rFonts w:ascii="Lato" w:hAnsi="Lato" w:cstheme="minorHAnsi"/>
          <w:b/>
          <w:bCs/>
          <w:sz w:val="24"/>
          <w:szCs w:val="24"/>
        </w:rPr>
        <w:t>i</w:t>
      </w:r>
      <w:r w:rsidR="001271A6" w:rsidRPr="00266C2A">
        <w:rPr>
          <w:rFonts w:ascii="Lato" w:hAnsi="Lato" w:cstheme="minorHAnsi"/>
          <w:b/>
          <w:bCs/>
          <w:sz w:val="24"/>
          <w:szCs w:val="24"/>
        </w:rPr>
        <w:t xml:space="preserve"> „Zabezpieczenie</w:t>
      </w:r>
      <w:r w:rsidR="001271A6" w:rsidRPr="00266C2A">
        <w:rPr>
          <w:rFonts w:ascii="Lato" w:hAnsi="Lato" w:cstheme="minorHAnsi"/>
          <w:sz w:val="24"/>
          <w:szCs w:val="24"/>
        </w:rPr>
        <w:t>”</w:t>
      </w:r>
    </w:p>
    <w:p w14:paraId="048F21FD" w14:textId="77777777"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Cała sekcja będzie domyślnie ukryta na formularzu, sekcja będzie widoczna, </w:t>
      </w:r>
      <w:r w:rsidRPr="00266C2A">
        <w:rPr>
          <w:rFonts w:ascii="Lato" w:hAnsi="Lato" w:cstheme="minorHAnsi"/>
          <w:b/>
          <w:bCs/>
          <w:sz w:val="24"/>
          <w:szCs w:val="24"/>
        </w:rPr>
        <w:t>jeżeli</w:t>
      </w:r>
      <w:r w:rsidRPr="00266C2A">
        <w:rPr>
          <w:rFonts w:ascii="Lato" w:hAnsi="Lato" w:cstheme="minorHAnsi"/>
          <w:sz w:val="24"/>
          <w:szCs w:val="24"/>
        </w:rPr>
        <w:t xml:space="preserve">: </w:t>
      </w:r>
    </w:p>
    <w:p w14:paraId="02178DE1" w14:textId="77777777"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lastRenderedPageBreak/>
        <w:t>zaznaczona zostanie odpowiedź TAK na pytanie „Czy planowany uprzedni przywóz produktów przetworzonych?” w Sekcji Uprzedni Przywóz Produktów Przetworzonych,</w:t>
      </w:r>
    </w:p>
    <w:p w14:paraId="5CAA8F3C" w14:textId="6E67981A"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b/>
          <w:bCs/>
          <w:sz w:val="24"/>
          <w:szCs w:val="24"/>
        </w:rPr>
        <w:t>lub</w:t>
      </w:r>
      <w:r w:rsidRPr="00266C2A">
        <w:rPr>
          <w:rFonts w:ascii="Lato" w:hAnsi="Lato" w:cstheme="minorHAnsi"/>
          <w:sz w:val="24"/>
          <w:szCs w:val="24"/>
        </w:rPr>
        <w:t xml:space="preserve"> zaznaczona zostanie odpowiedź TAK na pytanie „Czy planowany uprzedni przywóz produktów zamiennych?” w podsekcji „Uprzedni Przywóz Produktów Zamiennych”. W polu „Kod określający wymagalność zabezpieczenia” domyślnie wybrana będzie wartość „Wymaga się zabezpieczenia” z możliwością zmiany.</w:t>
      </w:r>
    </w:p>
    <w:p w14:paraId="3DDA219C" w14:textId="77777777" w:rsidR="001B6ECB"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Pole „Kod określający wymagalność zabezpieczenia” będzie przyjmował wartości: „0-Nie wymaga się zabezpieczenia” oraz „1-Wymaga się zabezpieczenia’</w:t>
      </w:r>
      <w:r w:rsidR="001B6ECB" w:rsidRPr="00266C2A">
        <w:rPr>
          <w:rFonts w:ascii="Lato" w:hAnsi="Lato" w:cstheme="minorHAnsi"/>
          <w:sz w:val="24"/>
          <w:szCs w:val="24"/>
        </w:rPr>
        <w:t>.</w:t>
      </w:r>
    </w:p>
    <w:p w14:paraId="0E115CAE" w14:textId="4FF9D12A"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Dodanie w podsekcji Zabezpieczenie Generalne </w:t>
      </w:r>
      <w:proofErr w:type="spellStart"/>
      <w:r w:rsidRPr="00266C2A">
        <w:rPr>
          <w:rFonts w:ascii="Lato" w:hAnsi="Lato" w:cstheme="minorHAnsi"/>
          <w:sz w:val="24"/>
          <w:szCs w:val="24"/>
        </w:rPr>
        <w:t>check-box</w:t>
      </w:r>
      <w:proofErr w:type="spellEnd"/>
      <w:r w:rsidRPr="00266C2A">
        <w:rPr>
          <w:rFonts w:ascii="Lato" w:hAnsi="Lato" w:cstheme="minorHAnsi"/>
          <w:sz w:val="24"/>
          <w:szCs w:val="24"/>
        </w:rPr>
        <w:t xml:space="preserve"> „Zostanie złożone przed wydaniem pozwolenia”. Zaznaczenie </w:t>
      </w:r>
      <w:proofErr w:type="spellStart"/>
      <w:r w:rsidRPr="00266C2A">
        <w:rPr>
          <w:rFonts w:ascii="Lato" w:hAnsi="Lato" w:cstheme="minorHAnsi"/>
          <w:sz w:val="24"/>
          <w:szCs w:val="24"/>
        </w:rPr>
        <w:t>check-box</w:t>
      </w:r>
      <w:proofErr w:type="spellEnd"/>
      <w:r w:rsidRPr="00266C2A">
        <w:rPr>
          <w:rFonts w:ascii="Lato" w:hAnsi="Lato" w:cstheme="minorHAnsi"/>
          <w:sz w:val="24"/>
          <w:szCs w:val="24"/>
        </w:rPr>
        <w:t xml:space="preserve"> będzie skutkowało ukryciem pozostałych pól w sekcji, czyli „Kwota zabezpieczenia”, „Waluta”, „Kod i nazwa urzędu celnego zabezpieczenia”, „Nr GRN”.</w:t>
      </w:r>
    </w:p>
    <w:p w14:paraId="4B1D2832" w14:textId="699E8BE3" w:rsidR="001271A6" w:rsidRPr="00266C2A" w:rsidRDefault="001271A6" w:rsidP="001B6ECB">
      <w:pPr>
        <w:widowControl w:val="0"/>
        <w:spacing w:before="120" w:after="120"/>
        <w:rPr>
          <w:rFonts w:ascii="Lato" w:hAnsi="Lato" w:cstheme="minorHAnsi"/>
          <w:color w:val="00A933"/>
          <w:sz w:val="24"/>
          <w:szCs w:val="24"/>
        </w:rPr>
      </w:pPr>
      <w:r w:rsidRPr="00266C2A">
        <w:rPr>
          <w:rFonts w:ascii="Lato" w:hAnsi="Lato" w:cstheme="minorHAnsi"/>
          <w:sz w:val="24"/>
          <w:szCs w:val="24"/>
        </w:rPr>
        <w:t xml:space="preserve">Pole „Waluta” zawsze będzie przyjmowało wartość „PLN” – pole </w:t>
      </w:r>
      <w:proofErr w:type="spellStart"/>
      <w:r w:rsidRPr="00266C2A">
        <w:rPr>
          <w:rFonts w:ascii="Lato" w:hAnsi="Lato" w:cstheme="minorHAnsi"/>
          <w:sz w:val="24"/>
          <w:szCs w:val="24"/>
        </w:rPr>
        <w:t>read-only</w:t>
      </w:r>
      <w:proofErr w:type="spellEnd"/>
      <w:r w:rsidRPr="00266C2A">
        <w:rPr>
          <w:rFonts w:ascii="Lato" w:hAnsi="Lato" w:cstheme="minorHAnsi"/>
          <w:sz w:val="24"/>
          <w:szCs w:val="24"/>
        </w:rPr>
        <w:t xml:space="preserve"> </w:t>
      </w:r>
    </w:p>
    <w:p w14:paraId="389BEDB7" w14:textId="0E814A3D"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Pole „Kod i nazwa urzędu celnego zabezpieczenia” (zabezpieczenie pojedyncze i generalne) podpięcie słownika PDR 001E</w:t>
      </w:r>
      <w:r w:rsidRPr="00266C2A">
        <w:rPr>
          <w:rFonts w:ascii="Lato" w:hAnsi="Lato" w:cstheme="minorHAnsi"/>
          <w:color w:val="00A933"/>
          <w:sz w:val="24"/>
          <w:szCs w:val="24"/>
        </w:rPr>
        <w:t xml:space="preserve"> </w:t>
      </w:r>
    </w:p>
    <w:p w14:paraId="50FB605E" w14:textId="3B858683"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Dla zabezpieczenia pojedynczego wyświetlane będą tylko Urzędy Celno-skarbowe </w:t>
      </w:r>
    </w:p>
    <w:p w14:paraId="56ACDCA6" w14:textId="0ED11697"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Dla zabezpieczenia generalnego wyświetlane będą tylko Izby Administracji Skarbowej </w:t>
      </w:r>
    </w:p>
    <w:p w14:paraId="4099B8BA" w14:textId="5427C9DB"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Pole „Numer GRN” (cała podsekcja) będzie wyświetlana dopiero po wskazaniu wartości w polu „Kod i nazwa urzędu celnego zabezpieczenia”. Do pola zostanie dodana walidacja sprawdzająca czy podany nr GRN (kod IAS zawarty w GRN) jest zgodny z IAS wybranym w polu „Kod i nazwa urzędu celnego zabezpieczenia”. </w:t>
      </w:r>
    </w:p>
    <w:p w14:paraId="00F2E5D0" w14:textId="06F08E43" w:rsidR="001271A6" w:rsidRPr="00266C2A" w:rsidRDefault="003B41F9" w:rsidP="001B6ECB">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„Przeniesienie praw i obowiązków</w:t>
      </w:r>
      <w:r w:rsidR="001271A6" w:rsidRPr="00266C2A">
        <w:rPr>
          <w:rFonts w:ascii="Lato" w:hAnsi="Lato" w:cstheme="minorHAnsi"/>
          <w:sz w:val="24"/>
          <w:szCs w:val="24"/>
        </w:rPr>
        <w:t>”:</w:t>
      </w:r>
    </w:p>
    <w:p w14:paraId="0167149D" w14:textId="77777777"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Przeniesienie pola „Czy wniosek o przeniesienie praw i obowiązków?” na początek sekcji. Pola „EORI” i „Opis” (ze zmienioną nazwą na „Informacja o przeniesieniu praw i obowiązków”) będą wyświetlane i obligatoryjne po wybraniu opcji „Tak” w polu „Czy wniosek o przeniesienie praw i obowiązków?”. </w:t>
      </w:r>
    </w:p>
    <w:p w14:paraId="4DE7E4FB" w14:textId="77777777" w:rsidR="003B41F9" w:rsidRPr="00266C2A" w:rsidRDefault="001271A6"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Dla pola EORI zostanie wprowadzony mechanizm weryfikacji czy w słowniku 4003V1 istnieje aktywny podmiot o podanym EORI. </w:t>
      </w:r>
    </w:p>
    <w:p w14:paraId="6A8E796A" w14:textId="6C841AA8" w:rsidR="001271A6" w:rsidRPr="00266C2A" w:rsidRDefault="003B41F9" w:rsidP="001B6ECB">
      <w:pPr>
        <w:widowControl w:val="0"/>
        <w:spacing w:before="120" w:after="120"/>
        <w:rPr>
          <w:rFonts w:ascii="Lato" w:hAnsi="Lato" w:cstheme="minorHAnsi"/>
          <w:sz w:val="24"/>
          <w:szCs w:val="24"/>
        </w:rPr>
      </w:pPr>
      <w:r w:rsidRPr="00266C2A">
        <w:rPr>
          <w:rFonts w:ascii="Lato" w:hAnsi="Lato" w:cstheme="minorHAnsi"/>
          <w:sz w:val="24"/>
          <w:szCs w:val="24"/>
        </w:rPr>
        <w:t>Wprowadzenie powielarności sekcji.</w:t>
      </w:r>
    </w:p>
    <w:p w14:paraId="76D4CD8D" w14:textId="002DF3EC" w:rsidR="001271A6" w:rsidRPr="00266C2A" w:rsidRDefault="00F64303" w:rsidP="001B6ECB">
      <w:pPr>
        <w:widowControl w:val="0"/>
        <w:spacing w:before="120" w:after="120"/>
        <w:rPr>
          <w:rFonts w:ascii="Lato" w:hAnsi="Lato" w:cstheme="minorHAnsi"/>
          <w:sz w:val="24"/>
          <w:szCs w:val="24"/>
        </w:rPr>
      </w:pPr>
      <w:r w:rsidRPr="00266C2A">
        <w:rPr>
          <w:rFonts w:ascii="Lato" w:hAnsi="Lato" w:cstheme="minorHAnsi"/>
          <w:sz w:val="24"/>
          <w:szCs w:val="24"/>
        </w:rPr>
        <w:t>P</w:t>
      </w:r>
      <w:r w:rsidR="001271A6" w:rsidRPr="00266C2A">
        <w:rPr>
          <w:rFonts w:ascii="Lato" w:hAnsi="Lato" w:cstheme="minorHAnsi"/>
          <w:sz w:val="24"/>
          <w:szCs w:val="24"/>
        </w:rPr>
        <w:t xml:space="preserve">ole „EORI” i pole “Informacja o przeniesieniu praw i obowiązków” są polami wielokrotnego wyboru, stąd konieczność dodania dla tych pól przycisków „Dodaj” i „Usuń”. </w:t>
      </w:r>
    </w:p>
    <w:p w14:paraId="3DB126EF" w14:textId="71F00BED" w:rsidR="001271A6" w:rsidRPr="00266C2A" w:rsidRDefault="001271A6" w:rsidP="001B6ECB">
      <w:pPr>
        <w:widowControl w:val="0"/>
        <w:spacing w:before="120" w:after="120"/>
        <w:rPr>
          <w:rFonts w:ascii="Lato" w:hAnsi="Lato" w:cstheme="minorHAnsi"/>
          <w:sz w:val="24"/>
          <w:szCs w:val="24"/>
        </w:rPr>
      </w:pPr>
      <w:r w:rsidRPr="00266C2A">
        <w:rPr>
          <w:rFonts w:ascii="Lato" w:hAnsi="Lato" w:cstheme="minorHAnsi"/>
          <w:b/>
          <w:bCs/>
          <w:sz w:val="24"/>
          <w:szCs w:val="24"/>
        </w:rPr>
        <w:t>Sekcja „Zgoda na publikację w wykazie posiadaczy pozwoleń</w:t>
      </w:r>
      <w:r w:rsidRPr="00266C2A">
        <w:rPr>
          <w:rFonts w:ascii="Lato" w:hAnsi="Lato" w:cstheme="minorHAnsi"/>
          <w:sz w:val="24"/>
          <w:szCs w:val="24"/>
        </w:rPr>
        <w:t>” sekcja dla typu wniosku innego niż nowy będzie ukryta.</w:t>
      </w:r>
    </w:p>
    <w:p w14:paraId="502F736B" w14:textId="384D7356" w:rsidR="001271A6" w:rsidRPr="00266C2A" w:rsidRDefault="003D12F8" w:rsidP="001B6ECB">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1271A6" w:rsidRPr="00266C2A">
        <w:rPr>
          <w:rFonts w:ascii="Lato" w:hAnsi="Lato" w:cstheme="minorHAnsi"/>
          <w:b/>
          <w:bCs/>
          <w:sz w:val="24"/>
          <w:szCs w:val="24"/>
        </w:rPr>
        <w:t>Sekcj</w:t>
      </w:r>
      <w:r w:rsidRPr="00266C2A">
        <w:rPr>
          <w:rFonts w:ascii="Lato" w:hAnsi="Lato" w:cstheme="minorHAnsi"/>
          <w:b/>
          <w:bCs/>
          <w:sz w:val="24"/>
          <w:szCs w:val="24"/>
        </w:rPr>
        <w:t>i</w:t>
      </w:r>
      <w:r w:rsidR="001271A6" w:rsidRPr="00266C2A">
        <w:rPr>
          <w:rFonts w:ascii="Lato" w:hAnsi="Lato" w:cstheme="minorHAnsi"/>
          <w:b/>
          <w:bCs/>
          <w:sz w:val="24"/>
          <w:szCs w:val="24"/>
        </w:rPr>
        <w:t xml:space="preserve"> „Dodatkowe informacje</w:t>
      </w:r>
      <w:r w:rsidR="001271A6" w:rsidRPr="00266C2A">
        <w:rPr>
          <w:rFonts w:ascii="Lato" w:hAnsi="Lato" w:cstheme="minorHAnsi"/>
          <w:sz w:val="24"/>
          <w:szCs w:val="24"/>
        </w:rPr>
        <w:t xml:space="preserve">”, zmiana nazwy pola „Tekst informacji dodatkowej” na „Opis”. </w:t>
      </w:r>
    </w:p>
    <w:p w14:paraId="68E9F58E" w14:textId="037BD43A" w:rsidR="00C814CD" w:rsidRPr="00266C2A" w:rsidRDefault="001B6ECB" w:rsidP="001B6ECB">
      <w:pPr>
        <w:pStyle w:val="Tabelatrenumerowanie"/>
        <w:widowControl w:val="0"/>
        <w:numPr>
          <w:ilvl w:val="0"/>
          <w:numId w:val="0"/>
        </w:numPr>
        <w:spacing w:before="120" w:after="120" w:line="240" w:lineRule="auto"/>
        <w:rPr>
          <w:rFonts w:ascii="Lato" w:hAnsi="Lato" w:cstheme="minorHAnsi"/>
          <w:b/>
          <w:bCs/>
          <w:sz w:val="24"/>
          <w:szCs w:val="24"/>
          <w:u w:val="single"/>
        </w:rPr>
      </w:pPr>
      <w:r w:rsidRPr="00266C2A">
        <w:rPr>
          <w:rFonts w:ascii="Lato" w:hAnsi="Lato" w:cstheme="minorHAnsi"/>
          <w:b/>
          <w:bCs/>
          <w:sz w:val="24"/>
          <w:szCs w:val="24"/>
          <w:u w:val="single"/>
        </w:rPr>
        <w:t>Z</w:t>
      </w:r>
      <w:r w:rsidR="00C814CD" w:rsidRPr="00266C2A">
        <w:rPr>
          <w:rFonts w:ascii="Lato" w:hAnsi="Lato" w:cstheme="minorHAnsi"/>
          <w:b/>
          <w:bCs/>
          <w:sz w:val="24"/>
          <w:szCs w:val="24"/>
          <w:u w:val="single"/>
        </w:rPr>
        <w:t>miany dotyczące pozwolenia (formularza i wydruku) w SZPROT PLUS:</w:t>
      </w:r>
    </w:p>
    <w:p w14:paraId="4B0A9A42" w14:textId="132F1FA9" w:rsidR="000915E7" w:rsidRPr="00266C2A" w:rsidRDefault="000915E7" w:rsidP="001B6ECB">
      <w:pPr>
        <w:widowControl w:val="0"/>
        <w:spacing w:before="120" w:after="120" w:line="240" w:lineRule="auto"/>
        <w:rPr>
          <w:rFonts w:ascii="Lato" w:hAnsi="Lato" w:cstheme="minorHAnsi"/>
          <w:sz w:val="24"/>
          <w:szCs w:val="24"/>
        </w:rPr>
      </w:pPr>
      <w:r w:rsidRPr="00266C2A">
        <w:rPr>
          <w:rFonts w:ascii="Lato" w:hAnsi="Lato" w:cstheme="minorHAnsi"/>
          <w:b/>
          <w:bCs/>
          <w:sz w:val="24"/>
          <w:szCs w:val="24"/>
        </w:rPr>
        <w:t>Zmiany ogólne</w:t>
      </w:r>
      <w:r w:rsidRPr="00266C2A">
        <w:rPr>
          <w:rFonts w:ascii="Lato" w:hAnsi="Lato" w:cstheme="minorHAnsi"/>
          <w:sz w:val="24"/>
          <w:szCs w:val="24"/>
        </w:rPr>
        <w:t>:</w:t>
      </w:r>
    </w:p>
    <w:p w14:paraId="0B203AD2" w14:textId="77777777" w:rsidR="00C814CD" w:rsidRPr="00266C2A" w:rsidRDefault="000915E7" w:rsidP="001B6ECB">
      <w:pPr>
        <w:widowControl w:val="0"/>
        <w:spacing w:before="120" w:after="120"/>
        <w:rPr>
          <w:rFonts w:ascii="Lato" w:hAnsi="Lato" w:cstheme="minorHAnsi"/>
          <w:sz w:val="24"/>
          <w:szCs w:val="24"/>
        </w:rPr>
      </w:pPr>
      <w:r w:rsidRPr="00266C2A">
        <w:rPr>
          <w:rFonts w:ascii="Lato" w:hAnsi="Lato" w:cstheme="minorHAnsi"/>
          <w:sz w:val="24"/>
          <w:szCs w:val="24"/>
        </w:rPr>
        <w:lastRenderedPageBreak/>
        <w:t xml:space="preserve">Wszystkie pola słownikowe formularza i wydruku </w:t>
      </w:r>
      <w:r w:rsidRPr="00266C2A">
        <w:rPr>
          <w:rFonts w:ascii="Lato" w:hAnsi="Lato" w:cstheme="minorHAnsi"/>
          <w:strike/>
          <w:sz w:val="24"/>
          <w:szCs w:val="24"/>
        </w:rPr>
        <w:t xml:space="preserve">i </w:t>
      </w:r>
      <w:r w:rsidRPr="00266C2A">
        <w:rPr>
          <w:rFonts w:ascii="Lato" w:hAnsi="Lato" w:cstheme="minorHAnsi"/>
          <w:sz w:val="24"/>
          <w:szCs w:val="24"/>
        </w:rPr>
        <w:t>pozwolenia będą wyświetlane w formacie „Kod - Nazwa”</w:t>
      </w:r>
      <w:r w:rsidR="00C814CD" w:rsidRPr="00266C2A">
        <w:rPr>
          <w:rFonts w:ascii="Lato" w:hAnsi="Lato" w:cstheme="minorHAnsi"/>
          <w:sz w:val="24"/>
          <w:szCs w:val="24"/>
        </w:rPr>
        <w:t>.</w:t>
      </w:r>
    </w:p>
    <w:p w14:paraId="785C2CC4" w14:textId="097876E8" w:rsidR="000915E7" w:rsidRPr="00266C2A" w:rsidRDefault="000915E7" w:rsidP="001B6ECB">
      <w:pPr>
        <w:widowControl w:val="0"/>
        <w:spacing w:before="120" w:after="120"/>
        <w:rPr>
          <w:rFonts w:ascii="Lato" w:hAnsi="Lato" w:cstheme="minorHAnsi"/>
          <w:sz w:val="24"/>
          <w:szCs w:val="24"/>
        </w:rPr>
      </w:pPr>
      <w:r w:rsidRPr="00266C2A">
        <w:rPr>
          <w:rFonts w:ascii="Lato" w:hAnsi="Lato" w:cstheme="minorHAnsi"/>
          <w:sz w:val="24"/>
          <w:szCs w:val="24"/>
        </w:rPr>
        <w:t xml:space="preserve">Ujednolicenie nazw wszystkich pól formularza pozwolenia i wydruku z nazwami we wniosku OPO na PUESC, z wyłączeniem pól dedykowanych tylko dla wniosku lub pozwolenia. </w:t>
      </w:r>
    </w:p>
    <w:p w14:paraId="032E54D1" w14:textId="62F4D150" w:rsidR="000915E7" w:rsidRPr="00266C2A" w:rsidRDefault="000915E7" w:rsidP="001B6ECB">
      <w:pPr>
        <w:widowControl w:val="0"/>
        <w:spacing w:before="120" w:after="120"/>
        <w:rPr>
          <w:rFonts w:ascii="Lato" w:hAnsi="Lato" w:cstheme="minorHAnsi"/>
          <w:sz w:val="24"/>
          <w:szCs w:val="24"/>
        </w:rPr>
      </w:pPr>
      <w:r w:rsidRPr="00266C2A">
        <w:rPr>
          <w:rFonts w:ascii="Lato" w:hAnsi="Lato" w:cstheme="minorHAnsi"/>
          <w:sz w:val="24"/>
          <w:szCs w:val="24"/>
        </w:rPr>
        <w:t>Poprawa długości wszystkich pól,, etykiet oraz list rozwijalnych, tak aby tekst nie był przycinany.</w:t>
      </w:r>
    </w:p>
    <w:p w14:paraId="611C9306" w14:textId="571B97A5" w:rsidR="000915E7" w:rsidRPr="00266C2A" w:rsidRDefault="00F56F18" w:rsidP="001B6ECB">
      <w:pPr>
        <w:widowControl w:val="0"/>
        <w:spacing w:before="120" w:after="120"/>
        <w:rPr>
          <w:rFonts w:ascii="Lato" w:hAnsi="Lato" w:cstheme="minorHAnsi"/>
          <w:sz w:val="24"/>
          <w:szCs w:val="24"/>
        </w:rPr>
      </w:pPr>
      <w:r w:rsidRPr="00266C2A">
        <w:rPr>
          <w:rFonts w:ascii="Lato" w:hAnsi="Lato" w:cstheme="minorHAnsi"/>
          <w:b/>
          <w:bCs/>
          <w:sz w:val="24"/>
          <w:szCs w:val="24"/>
        </w:rPr>
        <w:t xml:space="preserve">W </w:t>
      </w:r>
      <w:r w:rsidR="000915E7" w:rsidRPr="00266C2A">
        <w:rPr>
          <w:rFonts w:ascii="Lato" w:hAnsi="Lato" w:cstheme="minorHAnsi"/>
          <w:b/>
          <w:bCs/>
          <w:sz w:val="24"/>
          <w:szCs w:val="24"/>
        </w:rPr>
        <w:t>Sekcj</w:t>
      </w:r>
      <w:r w:rsidRPr="00266C2A">
        <w:rPr>
          <w:rFonts w:ascii="Lato" w:hAnsi="Lato" w:cstheme="minorHAnsi"/>
          <w:b/>
          <w:bCs/>
          <w:sz w:val="24"/>
          <w:szCs w:val="24"/>
        </w:rPr>
        <w:t>i</w:t>
      </w:r>
      <w:r w:rsidR="000915E7" w:rsidRPr="00266C2A">
        <w:rPr>
          <w:rFonts w:ascii="Lato" w:hAnsi="Lato" w:cstheme="minorHAnsi"/>
          <w:b/>
          <w:bCs/>
          <w:sz w:val="24"/>
          <w:szCs w:val="24"/>
        </w:rPr>
        <w:t xml:space="preserve"> „Kontrolny urząd celny</w:t>
      </w:r>
      <w:r w:rsidR="000915E7" w:rsidRPr="00266C2A">
        <w:rPr>
          <w:rFonts w:ascii="Lato" w:hAnsi="Lato" w:cstheme="minorHAnsi"/>
          <w:sz w:val="24"/>
          <w:szCs w:val="24"/>
        </w:rPr>
        <w:t xml:space="preserve">” (element </w:t>
      </w:r>
      <w:proofErr w:type="spellStart"/>
      <w:r w:rsidR="000915E7" w:rsidRPr="00266C2A">
        <w:rPr>
          <w:rFonts w:ascii="Lato" w:hAnsi="Lato" w:cstheme="minorHAnsi"/>
          <w:sz w:val="24"/>
          <w:szCs w:val="24"/>
        </w:rPr>
        <w:t>UCKontrolny</w:t>
      </w:r>
      <w:proofErr w:type="spellEnd"/>
      <w:r w:rsidR="000915E7" w:rsidRPr="00266C2A">
        <w:rPr>
          <w:rFonts w:ascii="Lato" w:hAnsi="Lato" w:cstheme="minorHAnsi"/>
          <w:sz w:val="24"/>
          <w:szCs w:val="24"/>
        </w:rPr>
        <w:t xml:space="preserve">) – kody urzędów będą pobierane z nowego słownika widokowego PDR 001E. Lista będzie prezentowała polskie Urzędy Celno-Skarbowe oraz Oddziały Celne. </w:t>
      </w:r>
    </w:p>
    <w:p w14:paraId="204133AF" w14:textId="6E5D2053" w:rsidR="000915E7" w:rsidRPr="00266C2A" w:rsidRDefault="000915E7" w:rsidP="001B6ECB">
      <w:pPr>
        <w:widowControl w:val="0"/>
        <w:spacing w:before="120" w:after="120"/>
        <w:rPr>
          <w:rFonts w:ascii="Lato" w:hAnsi="Lato" w:cstheme="minorHAnsi"/>
          <w:lang w:eastAsia="pl-PL"/>
        </w:rPr>
      </w:pPr>
      <w:r w:rsidRPr="00266C2A">
        <w:rPr>
          <w:rFonts w:ascii="Lato" w:hAnsi="Lato" w:cstheme="minorHAnsi"/>
        </w:rPr>
        <w:t>Dane ze słownika dotyczące kontrolnego urzędu celnego będą się przenosić do pozwolenia w takim kształcie w jakim są w słowniku tj. kod i nazwa urzędu (i wyświetlać się w jednym, a nie dwóch wierszach, bez pogrubienia i bez powiększenia czcionki)</w:t>
      </w:r>
      <w:r w:rsidRPr="00266C2A">
        <w:rPr>
          <w:rFonts w:ascii="Lato" w:hAnsi="Lato" w:cstheme="minorHAnsi"/>
          <w:lang w:eastAsia="pl-PL"/>
        </w:rPr>
        <w:t xml:space="preserve">. </w:t>
      </w:r>
      <w:r w:rsidRPr="00266C2A">
        <w:rPr>
          <w:rFonts w:ascii="Lato" w:hAnsi="Lato" w:cstheme="minorHAnsi"/>
        </w:rPr>
        <w:t>Umożliwienie wyszukiwania na listach urzędów celnych po kodzie jednostki</w:t>
      </w:r>
      <w:r w:rsidR="00834D3F" w:rsidRPr="00266C2A">
        <w:rPr>
          <w:rFonts w:ascii="Lato" w:hAnsi="Lato" w:cstheme="minorHAnsi"/>
          <w:lang w:eastAsia="pl-PL"/>
        </w:rPr>
        <w:t>.</w:t>
      </w:r>
    </w:p>
    <w:p w14:paraId="4501C852" w14:textId="28DAF0CA" w:rsidR="000915E7" w:rsidRPr="00266C2A" w:rsidRDefault="00834D3F" w:rsidP="001B6ECB">
      <w:pPr>
        <w:widowControl w:val="0"/>
        <w:spacing w:before="120" w:after="120"/>
        <w:rPr>
          <w:rFonts w:ascii="Lato" w:hAnsi="Lato" w:cstheme="minorHAnsi"/>
        </w:rPr>
      </w:pPr>
      <w:r w:rsidRPr="00266C2A">
        <w:rPr>
          <w:rFonts w:ascii="Lato" w:hAnsi="Lato" w:cstheme="minorHAnsi"/>
          <w:b/>
          <w:bCs/>
        </w:rPr>
        <w:t xml:space="preserve">W </w:t>
      </w:r>
      <w:r w:rsidR="000915E7" w:rsidRPr="00266C2A">
        <w:rPr>
          <w:rFonts w:ascii="Lato" w:hAnsi="Lato" w:cstheme="minorHAnsi"/>
          <w:b/>
          <w:bCs/>
        </w:rPr>
        <w:t>Sekcj</w:t>
      </w:r>
      <w:r w:rsidRPr="00266C2A">
        <w:rPr>
          <w:rFonts w:ascii="Lato" w:hAnsi="Lato" w:cstheme="minorHAnsi"/>
          <w:b/>
          <w:bCs/>
        </w:rPr>
        <w:t>i</w:t>
      </w:r>
      <w:r w:rsidR="000915E7" w:rsidRPr="00266C2A">
        <w:rPr>
          <w:rFonts w:ascii="Lato" w:hAnsi="Lato" w:cstheme="minorHAnsi"/>
          <w:b/>
          <w:bCs/>
        </w:rPr>
        <w:t xml:space="preserve"> „Zabezpieczenie</w:t>
      </w:r>
      <w:r w:rsidR="000915E7" w:rsidRPr="00266C2A">
        <w:rPr>
          <w:rFonts w:ascii="Lato" w:hAnsi="Lato" w:cstheme="minorHAnsi"/>
        </w:rPr>
        <w:t>”</w:t>
      </w:r>
    </w:p>
    <w:p w14:paraId="706ED8F7" w14:textId="7CD9F1EE" w:rsidR="000915E7" w:rsidRPr="00266C2A" w:rsidRDefault="000915E7" w:rsidP="001B6ECB">
      <w:pPr>
        <w:widowControl w:val="0"/>
        <w:spacing w:before="120" w:after="120"/>
        <w:rPr>
          <w:rFonts w:ascii="Lato" w:hAnsi="Lato" w:cstheme="minorHAnsi"/>
        </w:rPr>
      </w:pPr>
      <w:r w:rsidRPr="00266C2A">
        <w:rPr>
          <w:rFonts w:ascii="Lato" w:hAnsi="Lato" w:cstheme="minorHAnsi"/>
        </w:rPr>
        <w:t xml:space="preserve">Cała sekcja będzie domyślnie ukryta na formularzu, sekcja będzie widoczna, </w:t>
      </w:r>
      <w:r w:rsidRPr="00266C2A">
        <w:rPr>
          <w:rFonts w:ascii="Lato" w:hAnsi="Lato" w:cstheme="minorHAnsi"/>
          <w:b/>
          <w:bCs/>
        </w:rPr>
        <w:t>jeżeli</w:t>
      </w:r>
      <w:r w:rsidRPr="00266C2A">
        <w:rPr>
          <w:rFonts w:ascii="Lato" w:hAnsi="Lato" w:cstheme="minorHAnsi"/>
        </w:rPr>
        <w:t xml:space="preserve">: </w:t>
      </w:r>
    </w:p>
    <w:p w14:paraId="67866886" w14:textId="77777777" w:rsidR="000915E7" w:rsidRPr="00266C2A" w:rsidRDefault="000915E7" w:rsidP="001B6ECB">
      <w:pPr>
        <w:widowControl w:val="0"/>
        <w:spacing w:before="120" w:after="120"/>
        <w:rPr>
          <w:rFonts w:ascii="Lato" w:hAnsi="Lato" w:cstheme="minorHAnsi"/>
        </w:rPr>
      </w:pPr>
      <w:r w:rsidRPr="00266C2A">
        <w:rPr>
          <w:rFonts w:ascii="Lato" w:hAnsi="Lato" w:cstheme="minorHAnsi"/>
        </w:rPr>
        <w:t>zaznaczona zostanie odpowiedź TAK na pytanie „Czy planowany uprzedni przywóz produktów przetworzonych?” w Sekcji Uprzedni Przywóz Produktów Przetworzonych,</w:t>
      </w:r>
    </w:p>
    <w:p w14:paraId="2A64D2FE" w14:textId="5895688F" w:rsidR="000915E7" w:rsidRPr="00266C2A" w:rsidRDefault="000915E7" w:rsidP="001B6ECB">
      <w:pPr>
        <w:widowControl w:val="0"/>
        <w:spacing w:before="120" w:after="120"/>
        <w:rPr>
          <w:rFonts w:ascii="Lato" w:hAnsi="Lato" w:cstheme="minorHAnsi"/>
        </w:rPr>
      </w:pPr>
      <w:r w:rsidRPr="00266C2A">
        <w:rPr>
          <w:rFonts w:ascii="Lato" w:hAnsi="Lato" w:cstheme="minorHAnsi"/>
          <w:b/>
          <w:bCs/>
        </w:rPr>
        <w:t>lub</w:t>
      </w:r>
      <w:r w:rsidRPr="00266C2A">
        <w:rPr>
          <w:rFonts w:ascii="Lato" w:hAnsi="Lato" w:cstheme="minorHAnsi"/>
        </w:rPr>
        <w:t xml:space="preserve"> zaznaczona zostanie odpowiedź TAK na pytanie „Czy planowany uprzedni przywóz produktów zamiennych?” w podsekcji „Uprzedni Przywóz Produktów Zamiennych”.</w:t>
      </w:r>
    </w:p>
    <w:p w14:paraId="78FF2CD7" w14:textId="0455DAFC" w:rsidR="000915E7" w:rsidRPr="00266C2A" w:rsidRDefault="000915E7" w:rsidP="001B6ECB">
      <w:pPr>
        <w:widowControl w:val="0"/>
        <w:spacing w:before="120" w:after="120"/>
        <w:rPr>
          <w:rFonts w:ascii="Lato" w:hAnsi="Lato" w:cstheme="minorHAnsi"/>
        </w:rPr>
      </w:pPr>
      <w:r w:rsidRPr="00266C2A">
        <w:rPr>
          <w:rFonts w:ascii="Lato" w:hAnsi="Lato" w:cstheme="minorHAnsi"/>
        </w:rPr>
        <w:t>W polu „Kod określający wymagalność zabezpieczenia” domyślnie wybrana będzie wartość „Wymaga się zabezpieczenia” z możliwością zmiany.</w:t>
      </w:r>
    </w:p>
    <w:p w14:paraId="70683AC0" w14:textId="4F7D5CFA" w:rsidR="000915E7" w:rsidRPr="00266C2A" w:rsidRDefault="000915E7" w:rsidP="001B6ECB">
      <w:pPr>
        <w:widowControl w:val="0"/>
        <w:spacing w:before="120" w:after="120"/>
        <w:rPr>
          <w:rFonts w:ascii="Lato" w:hAnsi="Lato" w:cstheme="minorHAnsi"/>
        </w:rPr>
      </w:pPr>
      <w:r w:rsidRPr="00266C2A">
        <w:rPr>
          <w:rFonts w:ascii="Lato" w:hAnsi="Lato" w:cstheme="minorHAnsi"/>
        </w:rPr>
        <w:t xml:space="preserve">Dodanie w podsekcji Zabezpieczenie Generalne </w:t>
      </w:r>
      <w:proofErr w:type="spellStart"/>
      <w:r w:rsidRPr="00266C2A">
        <w:rPr>
          <w:rFonts w:ascii="Lato" w:hAnsi="Lato" w:cstheme="minorHAnsi"/>
        </w:rPr>
        <w:t>check-box</w:t>
      </w:r>
      <w:proofErr w:type="spellEnd"/>
      <w:r w:rsidRPr="00266C2A">
        <w:rPr>
          <w:rFonts w:ascii="Lato" w:hAnsi="Lato" w:cstheme="minorHAnsi"/>
        </w:rPr>
        <w:t xml:space="preserve"> „Zostanie złożone przed wydaniem pozwolenia”. Z podpiętą nową regułą: Jeżeli we wniosku zaznaczono „Zostanie złożone przed wydaniem pozwolenia”, wtedy pola w </w:t>
      </w:r>
      <w:r w:rsidRPr="00266C2A">
        <w:rPr>
          <w:rFonts w:ascii="Lato" w:hAnsi="Lato" w:cstheme="minorHAnsi"/>
          <w:b/>
          <w:bCs/>
        </w:rPr>
        <w:t>pozwoleniu</w:t>
      </w:r>
      <w:r w:rsidRPr="00266C2A">
        <w:rPr>
          <w:rFonts w:ascii="Lato" w:hAnsi="Lato" w:cstheme="minorHAnsi"/>
        </w:rPr>
        <w:t xml:space="preserve"> „Kwota zabezpieczenia”, „Waluta”, „Kod i nazwa urzędu celnego zabezpieczenia”, „Nr GRN” nie mogą być puste. </w:t>
      </w:r>
    </w:p>
    <w:p w14:paraId="69A2C152" w14:textId="49396D1B" w:rsidR="000915E7" w:rsidRPr="00266C2A" w:rsidRDefault="000915E7" w:rsidP="001B6ECB">
      <w:pPr>
        <w:widowControl w:val="0"/>
        <w:spacing w:before="120" w:after="120"/>
        <w:rPr>
          <w:rFonts w:ascii="Lato" w:hAnsi="Lato" w:cstheme="minorHAnsi"/>
        </w:rPr>
      </w:pPr>
      <w:r w:rsidRPr="00266C2A">
        <w:rPr>
          <w:rFonts w:ascii="Lato" w:hAnsi="Lato" w:cstheme="minorHAnsi"/>
        </w:rPr>
        <w:t>W generowanym szablonie wydruku pozwolenia OPO w polu „Urząd celny zabezpieczenia” wyświetlać się ma Kod i Nazwa urzędu celnego zabezpieczenia.</w:t>
      </w:r>
    </w:p>
    <w:p w14:paraId="23DF6472" w14:textId="6C9C0FEB" w:rsidR="000915E7" w:rsidRPr="00266C2A" w:rsidRDefault="000915E7" w:rsidP="001B6ECB">
      <w:pPr>
        <w:widowControl w:val="0"/>
        <w:spacing w:before="120" w:after="120"/>
        <w:rPr>
          <w:rFonts w:ascii="Lato" w:hAnsi="Lato" w:cstheme="minorHAnsi"/>
        </w:rPr>
      </w:pPr>
      <w:r w:rsidRPr="00266C2A">
        <w:rPr>
          <w:rFonts w:ascii="Lato" w:hAnsi="Lato" w:cstheme="minorHAnsi"/>
        </w:rPr>
        <w:t>Umożliwienie wyszukiwania na listach urzędów celnych po kodzie jednostki.</w:t>
      </w:r>
    </w:p>
    <w:p w14:paraId="176DE006" w14:textId="22F60BE5" w:rsidR="000915E7" w:rsidRPr="00266C2A" w:rsidRDefault="00F56F18" w:rsidP="001B6ECB">
      <w:pPr>
        <w:widowControl w:val="0"/>
        <w:spacing w:before="120" w:after="120"/>
        <w:rPr>
          <w:rFonts w:ascii="Lato" w:hAnsi="Lato" w:cstheme="minorHAnsi"/>
        </w:rPr>
      </w:pPr>
      <w:r w:rsidRPr="00266C2A">
        <w:rPr>
          <w:rFonts w:ascii="Lato" w:hAnsi="Lato" w:cstheme="minorHAnsi"/>
        </w:rPr>
        <w:t xml:space="preserve">W Sekcji </w:t>
      </w:r>
      <w:r w:rsidR="000915E7" w:rsidRPr="00266C2A">
        <w:rPr>
          <w:rFonts w:ascii="Lato" w:hAnsi="Lato" w:cstheme="minorHAnsi"/>
          <w:b/>
          <w:bCs/>
        </w:rPr>
        <w:t>Towary ekwiwalentne</w:t>
      </w:r>
      <w:r w:rsidR="000915E7" w:rsidRPr="00266C2A">
        <w:rPr>
          <w:rFonts w:ascii="Lato" w:hAnsi="Lato" w:cstheme="minorHAnsi"/>
        </w:rPr>
        <w:t>,</w:t>
      </w:r>
    </w:p>
    <w:p w14:paraId="6D3807AA" w14:textId="77777777" w:rsidR="000915E7" w:rsidRPr="00266C2A" w:rsidRDefault="000915E7" w:rsidP="001B6ECB">
      <w:pPr>
        <w:widowControl w:val="0"/>
        <w:spacing w:before="120" w:after="120"/>
        <w:rPr>
          <w:rFonts w:ascii="Lato" w:hAnsi="Lato" w:cstheme="minorHAnsi"/>
        </w:rPr>
      </w:pPr>
      <w:r w:rsidRPr="00266C2A">
        <w:rPr>
          <w:rFonts w:ascii="Lato" w:hAnsi="Lato" w:cstheme="minorHAnsi"/>
        </w:rPr>
        <w:t xml:space="preserve">Wydruk pozwolenia: na początku sekcji zostanie umieszony </w:t>
      </w:r>
      <w:proofErr w:type="spellStart"/>
      <w:r w:rsidRPr="00266C2A">
        <w:rPr>
          <w:rFonts w:ascii="Lato" w:hAnsi="Lato" w:cstheme="minorHAnsi"/>
        </w:rPr>
        <w:t>radiobutton</w:t>
      </w:r>
      <w:proofErr w:type="spellEnd"/>
      <w:r w:rsidRPr="00266C2A">
        <w:rPr>
          <w:rFonts w:ascii="Lato" w:hAnsi="Lato" w:cstheme="minorHAnsi"/>
        </w:rPr>
        <w:t xml:space="preserve"> „Czy towary ekwiwalentne?” przyjmująca wartości tak/nie; tabela z towarami będzie zawierała następujący zestaw danych: </w:t>
      </w:r>
    </w:p>
    <w:p w14:paraId="198AFB86" w14:textId="5C67D7EF" w:rsidR="000915E7" w:rsidRPr="00266C2A" w:rsidRDefault="000915E7" w:rsidP="001B6ECB">
      <w:pPr>
        <w:pStyle w:val="Akapitzlist"/>
        <w:widowControl w:val="0"/>
        <w:numPr>
          <w:ilvl w:val="0"/>
          <w:numId w:val="14"/>
        </w:numPr>
        <w:spacing w:before="120" w:after="120"/>
        <w:ind w:left="567" w:hanging="425"/>
        <w:rPr>
          <w:rFonts w:ascii="Lato" w:hAnsi="Lato" w:cstheme="minorHAnsi"/>
          <w:color w:val="FF0000"/>
        </w:rPr>
      </w:pPr>
      <w:r w:rsidRPr="00266C2A">
        <w:rPr>
          <w:rFonts w:ascii="Lato" w:hAnsi="Lato" w:cstheme="minorHAnsi"/>
        </w:rPr>
        <w:t xml:space="preserve">Kod towaru </w:t>
      </w:r>
    </w:p>
    <w:p w14:paraId="03DFF36A" w14:textId="478BC069" w:rsidR="000915E7" w:rsidRPr="00266C2A" w:rsidRDefault="000915E7" w:rsidP="001B6ECB">
      <w:pPr>
        <w:pStyle w:val="Akapitzlist"/>
        <w:widowControl w:val="0"/>
        <w:numPr>
          <w:ilvl w:val="0"/>
          <w:numId w:val="14"/>
        </w:numPr>
        <w:spacing w:before="120" w:after="120"/>
        <w:ind w:left="567" w:hanging="425"/>
        <w:rPr>
          <w:rFonts w:ascii="Lato" w:hAnsi="Lato" w:cstheme="minorHAnsi"/>
          <w:color w:val="00B050"/>
        </w:rPr>
      </w:pPr>
      <w:r w:rsidRPr="00266C2A">
        <w:rPr>
          <w:rFonts w:ascii="Lato" w:hAnsi="Lato" w:cstheme="minorHAnsi"/>
        </w:rPr>
        <w:t>Jakość handlowa i parametry techniczne towaru</w:t>
      </w:r>
    </w:p>
    <w:p w14:paraId="4189D1AB" w14:textId="513EB652" w:rsidR="000915E7" w:rsidRPr="00266C2A" w:rsidRDefault="000915E7" w:rsidP="001B6ECB">
      <w:pPr>
        <w:pStyle w:val="Akapitzlist"/>
        <w:widowControl w:val="0"/>
        <w:numPr>
          <w:ilvl w:val="0"/>
          <w:numId w:val="14"/>
        </w:numPr>
        <w:spacing w:before="120" w:after="120"/>
        <w:ind w:left="567" w:hanging="425"/>
        <w:rPr>
          <w:rFonts w:ascii="Lato" w:hAnsi="Lato" w:cstheme="minorHAnsi"/>
        </w:rPr>
      </w:pPr>
      <w:r w:rsidRPr="00266C2A">
        <w:rPr>
          <w:rFonts w:ascii="Lato" w:hAnsi="Lato" w:cstheme="minorHAnsi"/>
        </w:rPr>
        <w:t>Kod identyfikacji towaru (patrz punkt 1.5.1)</w:t>
      </w:r>
    </w:p>
    <w:p w14:paraId="5F3D74BF" w14:textId="5CF9933A" w:rsidR="000915E7" w:rsidRPr="00266C2A" w:rsidRDefault="000915E7" w:rsidP="001B6ECB">
      <w:pPr>
        <w:pStyle w:val="Akapitzlist"/>
        <w:widowControl w:val="0"/>
        <w:numPr>
          <w:ilvl w:val="0"/>
          <w:numId w:val="14"/>
        </w:numPr>
        <w:spacing w:before="120" w:after="120"/>
        <w:ind w:left="567" w:hanging="425"/>
        <w:rPr>
          <w:rFonts w:ascii="Lato" w:hAnsi="Lato" w:cstheme="minorHAnsi"/>
        </w:rPr>
      </w:pPr>
      <w:r w:rsidRPr="00266C2A">
        <w:rPr>
          <w:rFonts w:ascii="Lato" w:hAnsi="Lato" w:cstheme="minorHAnsi"/>
        </w:rPr>
        <w:t>Opis sposobu identyfikacji (patrz punkt 1.5.1)</w:t>
      </w:r>
    </w:p>
    <w:p w14:paraId="53B4A53E" w14:textId="13CE5FE6" w:rsidR="000915E7" w:rsidRPr="00266C2A" w:rsidRDefault="000915E7" w:rsidP="001B6ECB">
      <w:pPr>
        <w:pStyle w:val="Akapitzlist"/>
        <w:widowControl w:val="0"/>
        <w:numPr>
          <w:ilvl w:val="0"/>
          <w:numId w:val="14"/>
        </w:numPr>
        <w:spacing w:before="120" w:after="120"/>
        <w:ind w:left="567" w:hanging="425"/>
        <w:rPr>
          <w:rFonts w:ascii="Lato" w:hAnsi="Lato" w:cstheme="minorHAnsi"/>
        </w:rPr>
      </w:pPr>
      <w:r w:rsidRPr="00266C2A">
        <w:rPr>
          <w:rFonts w:ascii="Lato" w:hAnsi="Lato" w:cstheme="minorHAnsi"/>
        </w:rPr>
        <w:t>Czy</w:t>
      </w:r>
      <w:r w:rsidRPr="00266C2A">
        <w:rPr>
          <w:rFonts w:ascii="Lato" w:hAnsi="Lato" w:cstheme="minorHAnsi"/>
          <w:bCs/>
          <w:color w:val="505050"/>
          <w:shd w:val="clear" w:color="auto" w:fill="FFFFFF"/>
        </w:rPr>
        <w:t xml:space="preserve"> </w:t>
      </w:r>
      <w:r w:rsidRPr="00266C2A">
        <w:rPr>
          <w:rFonts w:ascii="Lato" w:hAnsi="Lato" w:cstheme="minorHAnsi"/>
          <w:bCs/>
          <w:shd w:val="clear" w:color="auto" w:fill="FFFFFF"/>
        </w:rPr>
        <w:t xml:space="preserve">towar nieunijny podlegałby cłu antydumpingowemu, cłu wyrównawczemu, cłu ochronnemu lub jakiemukolwiek cłu dodatkowemu wynikającemu z zawieszenia koncesji, gdyby zgłoszono go do dopuszczenia do obrotu? </w:t>
      </w:r>
    </w:p>
    <w:p w14:paraId="54341DE7" w14:textId="001C1C0D" w:rsidR="000915E7" w:rsidRPr="00266C2A" w:rsidRDefault="000915E7" w:rsidP="001B6ECB">
      <w:pPr>
        <w:widowControl w:val="0"/>
        <w:spacing w:before="120" w:after="120"/>
        <w:rPr>
          <w:rFonts w:ascii="Lato" w:hAnsi="Lato" w:cstheme="minorHAnsi"/>
        </w:rPr>
      </w:pPr>
      <w:r w:rsidRPr="00266C2A">
        <w:rPr>
          <w:rFonts w:ascii="Lato" w:hAnsi="Lato" w:cstheme="minorHAnsi"/>
        </w:rPr>
        <w:lastRenderedPageBreak/>
        <w:t xml:space="preserve">Formularz SZPROT, przeniesienie </w:t>
      </w:r>
      <w:proofErr w:type="spellStart"/>
      <w:r w:rsidRPr="00266C2A">
        <w:rPr>
          <w:rFonts w:ascii="Lato" w:hAnsi="Lato" w:cstheme="minorHAnsi"/>
        </w:rPr>
        <w:t>radiobutton</w:t>
      </w:r>
      <w:proofErr w:type="spellEnd"/>
      <w:r w:rsidRPr="00266C2A">
        <w:rPr>
          <w:rFonts w:ascii="Lato" w:hAnsi="Lato" w:cstheme="minorHAnsi"/>
        </w:rPr>
        <w:t xml:space="preserve">  „„Czy towary ekwiwalentne?” na początek sekcji.</w:t>
      </w:r>
    </w:p>
    <w:p w14:paraId="433D236E" w14:textId="189E2E18" w:rsidR="000915E7" w:rsidRPr="00266C2A" w:rsidRDefault="00C814CD" w:rsidP="001B6ECB">
      <w:pPr>
        <w:widowControl w:val="0"/>
        <w:spacing w:before="120" w:after="120"/>
        <w:rPr>
          <w:rFonts w:ascii="Lato" w:hAnsi="Lato" w:cstheme="minorHAnsi"/>
        </w:rPr>
      </w:pPr>
      <w:r w:rsidRPr="00266C2A">
        <w:rPr>
          <w:rFonts w:ascii="Lato" w:hAnsi="Lato" w:cstheme="minorHAnsi"/>
          <w:b/>
          <w:bCs/>
        </w:rPr>
        <w:t xml:space="preserve">W Sekcji </w:t>
      </w:r>
      <w:r w:rsidR="000915E7" w:rsidRPr="00266C2A">
        <w:rPr>
          <w:rFonts w:ascii="Lato" w:hAnsi="Lato" w:cstheme="minorHAnsi"/>
          <w:b/>
          <w:bCs/>
        </w:rPr>
        <w:t>Warunki ekonomiczne</w:t>
      </w:r>
      <w:r w:rsidR="000915E7" w:rsidRPr="00266C2A">
        <w:rPr>
          <w:rFonts w:ascii="Lato" w:hAnsi="Lato" w:cstheme="minorHAnsi"/>
        </w:rPr>
        <w:t>, pole „Kod” zostanie usunięte z formularza SZPROT oraz wydruku pozwolenia</w:t>
      </w:r>
      <w:r w:rsidR="00F56F18" w:rsidRPr="00266C2A">
        <w:rPr>
          <w:rFonts w:ascii="Lato" w:hAnsi="Lato" w:cstheme="minorHAnsi"/>
        </w:rPr>
        <w:t>.</w:t>
      </w:r>
    </w:p>
    <w:p w14:paraId="5934F28F" w14:textId="0F13CBFD" w:rsidR="000915E7" w:rsidRPr="00266C2A" w:rsidRDefault="00C814CD" w:rsidP="001B6ECB">
      <w:pPr>
        <w:widowControl w:val="0"/>
        <w:spacing w:before="120" w:after="120"/>
        <w:rPr>
          <w:rFonts w:ascii="Lato" w:hAnsi="Lato" w:cstheme="minorHAnsi"/>
        </w:rPr>
      </w:pPr>
      <w:r w:rsidRPr="00266C2A">
        <w:rPr>
          <w:rFonts w:ascii="Lato" w:hAnsi="Lato" w:cstheme="minorHAnsi"/>
        </w:rPr>
        <w:t>W Sekcji</w:t>
      </w:r>
      <w:r w:rsidR="00F56F18" w:rsidRPr="00266C2A">
        <w:rPr>
          <w:rFonts w:ascii="Lato" w:hAnsi="Lato" w:cstheme="minorHAnsi"/>
          <w:b/>
          <w:bCs/>
        </w:rPr>
        <w:t xml:space="preserve"> </w:t>
      </w:r>
      <w:r w:rsidR="000915E7" w:rsidRPr="00266C2A">
        <w:rPr>
          <w:rFonts w:ascii="Lato" w:hAnsi="Lato" w:cstheme="minorHAnsi"/>
          <w:b/>
          <w:bCs/>
        </w:rPr>
        <w:t>System standardowej wymiany</w:t>
      </w:r>
      <w:r w:rsidR="000915E7" w:rsidRPr="00266C2A">
        <w:rPr>
          <w:rFonts w:ascii="Lato" w:hAnsi="Lato" w:cstheme="minorHAnsi"/>
        </w:rPr>
        <w:t>, pole „Dodatkowe informacje” nie będą powiązane z polem „Rodzaj systemu standardowej wymiany”. Pole będzie przechowywać tekst wprowadzony przez użytkownika</w:t>
      </w:r>
      <w:r w:rsidR="00F56F18" w:rsidRPr="00266C2A">
        <w:rPr>
          <w:rFonts w:ascii="Lato" w:hAnsi="Lato" w:cstheme="minorHAnsi"/>
        </w:rPr>
        <w:t>.</w:t>
      </w:r>
    </w:p>
    <w:p w14:paraId="3E1F9024" w14:textId="05857232" w:rsidR="000915E7" w:rsidRPr="00266C2A" w:rsidRDefault="00C814CD" w:rsidP="001B6ECB">
      <w:pPr>
        <w:widowControl w:val="0"/>
        <w:spacing w:before="120" w:after="120"/>
        <w:rPr>
          <w:rFonts w:ascii="Lato" w:hAnsi="Lato" w:cstheme="minorHAnsi"/>
          <w:b/>
          <w:bCs/>
        </w:rPr>
      </w:pPr>
      <w:r w:rsidRPr="00266C2A">
        <w:rPr>
          <w:rFonts w:ascii="Lato" w:hAnsi="Lato" w:cstheme="minorHAnsi"/>
        </w:rPr>
        <w:t>W Sekcji</w:t>
      </w:r>
      <w:r w:rsidRPr="00266C2A">
        <w:rPr>
          <w:rFonts w:ascii="Lato" w:hAnsi="Lato" w:cstheme="minorHAnsi"/>
          <w:b/>
          <w:bCs/>
        </w:rPr>
        <w:t xml:space="preserve"> </w:t>
      </w:r>
      <w:r w:rsidR="000915E7" w:rsidRPr="00266C2A">
        <w:rPr>
          <w:rFonts w:ascii="Lato" w:hAnsi="Lato" w:cstheme="minorHAnsi"/>
          <w:b/>
          <w:bCs/>
        </w:rPr>
        <w:t xml:space="preserve">Identyfikacja towarów </w:t>
      </w:r>
      <w:r w:rsidR="000915E7" w:rsidRPr="00266C2A">
        <w:rPr>
          <w:rFonts w:ascii="Lato" w:hAnsi="Lato" w:cstheme="minorHAnsi"/>
        </w:rPr>
        <w:t>– wydruk pozwolenia, sekcja będzie wyświetlała słownik użytych kodów identyfikacji towarów w formacie „kod – nazwa”.</w:t>
      </w:r>
    </w:p>
    <w:p w14:paraId="26EC43C6" w14:textId="3E42D4AD" w:rsidR="000915E7" w:rsidRPr="00266C2A" w:rsidRDefault="000915E7" w:rsidP="00955463">
      <w:pPr>
        <w:widowControl w:val="0"/>
        <w:spacing w:before="120" w:after="120"/>
        <w:rPr>
          <w:rFonts w:ascii="Lato" w:hAnsi="Lato" w:cstheme="minorHAnsi"/>
          <w:b/>
          <w:bCs/>
          <w:color w:val="00A933"/>
        </w:rPr>
      </w:pPr>
      <w:r w:rsidRPr="00266C2A">
        <w:rPr>
          <w:rFonts w:ascii="Lato" w:hAnsi="Lato" w:cstheme="minorHAnsi"/>
          <w:b/>
          <w:bCs/>
        </w:rPr>
        <w:t>Wszystkie sekcje</w:t>
      </w:r>
      <w:r w:rsidRPr="00266C2A">
        <w:rPr>
          <w:rFonts w:ascii="Lato" w:hAnsi="Lato" w:cstheme="minorHAnsi"/>
        </w:rPr>
        <w:t xml:space="preserve"> (decyzji i wydruku)– modyfikacja zawartości, etykiet i reguł zachowania oraz walidacji zgodnie ze zmianami wprowadzonymi na formularzu PUESC.</w:t>
      </w:r>
    </w:p>
    <w:p w14:paraId="520EA3C2" w14:textId="65861442" w:rsidR="000915E7" w:rsidRPr="00266C2A" w:rsidRDefault="00630CBA" w:rsidP="00955463">
      <w:pPr>
        <w:widowControl w:val="0"/>
        <w:spacing w:before="120" w:after="120"/>
        <w:rPr>
          <w:rFonts w:ascii="Lato" w:hAnsi="Lato" w:cstheme="minorHAnsi"/>
          <w:b/>
          <w:bCs/>
        </w:rPr>
      </w:pPr>
      <w:r w:rsidRPr="00266C2A">
        <w:rPr>
          <w:rFonts w:ascii="Lato" w:hAnsi="Lato" w:cstheme="minorHAnsi"/>
        </w:rPr>
        <w:t>W Sekcji</w:t>
      </w:r>
      <w:r w:rsidRPr="00266C2A">
        <w:rPr>
          <w:rFonts w:ascii="Lato" w:hAnsi="Lato" w:cstheme="minorHAnsi"/>
          <w:b/>
          <w:bCs/>
        </w:rPr>
        <w:t xml:space="preserve"> </w:t>
      </w:r>
      <w:r w:rsidR="000915E7" w:rsidRPr="00266C2A">
        <w:rPr>
          <w:rFonts w:ascii="Lato" w:hAnsi="Lato" w:cstheme="minorHAnsi"/>
          <w:b/>
          <w:bCs/>
        </w:rPr>
        <w:t xml:space="preserve">Produkty zamienne.  </w:t>
      </w:r>
      <w:r w:rsidR="000915E7" w:rsidRPr="00266C2A">
        <w:rPr>
          <w:rFonts w:ascii="Lato" w:hAnsi="Lato" w:cstheme="minorHAnsi"/>
          <w:bCs/>
        </w:rPr>
        <w:t>W pozwoleniu Kod towaru</w:t>
      </w:r>
      <w:r w:rsidR="000915E7" w:rsidRPr="00266C2A">
        <w:rPr>
          <w:rFonts w:ascii="Lato" w:hAnsi="Lato" w:cstheme="minorHAnsi"/>
        </w:rPr>
        <w:t xml:space="preserve"> w części „Produkty zamienne” będzie pokazywać się w taki sam sposób jak przy „Towarach planowanych do objęcia procedurą”, czyli najpierw kod cyfrowy a potem jego opis.</w:t>
      </w:r>
      <w:r w:rsidR="000915E7" w:rsidRPr="00266C2A">
        <w:rPr>
          <w:rFonts w:ascii="Lato" w:hAnsi="Lato" w:cstheme="minorHAnsi"/>
          <w:color w:val="FF0000"/>
        </w:rPr>
        <w:t xml:space="preserve"> </w:t>
      </w:r>
    </w:p>
    <w:p w14:paraId="4CEEB330" w14:textId="2A48DF5F" w:rsidR="000915E7" w:rsidRPr="00266C2A" w:rsidRDefault="000915E7" w:rsidP="004B450E">
      <w:pPr>
        <w:widowControl w:val="0"/>
        <w:spacing w:before="120" w:after="120" w:line="240" w:lineRule="auto"/>
        <w:rPr>
          <w:rFonts w:ascii="Lato" w:hAnsi="Lato" w:cstheme="minorHAnsi"/>
          <w:b/>
          <w:bCs/>
          <w:sz w:val="24"/>
          <w:szCs w:val="24"/>
        </w:rPr>
      </w:pPr>
      <w:r w:rsidRPr="00266C2A">
        <w:rPr>
          <w:rFonts w:ascii="Lato" w:hAnsi="Lato" w:cstheme="minorHAnsi"/>
          <w:b/>
          <w:bCs/>
          <w:sz w:val="24"/>
          <w:szCs w:val="24"/>
        </w:rPr>
        <w:t>SPOSÓB REALIZACJI – Proponowany</w:t>
      </w:r>
    </w:p>
    <w:p w14:paraId="79A04654" w14:textId="459CE7C1" w:rsidR="00F42167" w:rsidRPr="00266C2A" w:rsidRDefault="00F42167" w:rsidP="00955463">
      <w:pPr>
        <w:widowControl w:val="0"/>
        <w:spacing w:before="120" w:after="120"/>
        <w:rPr>
          <w:rFonts w:ascii="Lato" w:hAnsi="Lato" w:cstheme="minorHAnsi"/>
        </w:rPr>
      </w:pPr>
      <w:r w:rsidRPr="00266C2A">
        <w:rPr>
          <w:rFonts w:ascii="Lato" w:hAnsi="Lato" w:cstheme="minorHAnsi"/>
        </w:rPr>
        <w:t>Niezbędna modyfikacja struktury oraz reguł walidacji wniosku o Uszlachetnianie bierne [OPO], powiązanej decyzji oraz Specyfikacji Technicznej XML dla potrzeb realizacji zmian opisanych powyżej.</w:t>
      </w:r>
    </w:p>
    <w:p w14:paraId="24098576" w14:textId="77777777" w:rsidR="00955463" w:rsidRPr="00266C2A" w:rsidRDefault="00F42167" w:rsidP="00955463">
      <w:pPr>
        <w:widowControl w:val="0"/>
        <w:spacing w:before="120" w:after="120"/>
        <w:rPr>
          <w:rFonts w:ascii="Lato" w:hAnsi="Lato" w:cstheme="minorHAnsi"/>
        </w:rPr>
      </w:pPr>
      <w:r w:rsidRPr="00266C2A">
        <w:rPr>
          <w:rFonts w:ascii="Lato" w:hAnsi="Lato" w:cstheme="minorHAnsi"/>
        </w:rPr>
        <w:t>Modyfikacja sekcji „</w:t>
      </w:r>
      <w:r w:rsidRPr="00266C2A">
        <w:rPr>
          <w:rFonts w:ascii="Lato" w:hAnsi="Lato" w:cstheme="minorHAnsi"/>
          <w:b/>
          <w:bCs/>
        </w:rPr>
        <w:t>Wniosek</w:t>
      </w:r>
      <w:r w:rsidRPr="00266C2A">
        <w:rPr>
          <w:rFonts w:ascii="Lato" w:hAnsi="Lato" w:cstheme="minorHAnsi"/>
        </w:rPr>
        <w:t>”:</w:t>
      </w:r>
    </w:p>
    <w:p w14:paraId="6DC8BEDE" w14:textId="6879CF10" w:rsidR="00F42167" w:rsidRPr="00266C2A" w:rsidRDefault="00F42167" w:rsidP="00955463">
      <w:pPr>
        <w:widowControl w:val="0"/>
        <w:spacing w:before="120" w:after="120"/>
        <w:rPr>
          <w:rFonts w:ascii="Lato" w:hAnsi="Lato" w:cstheme="minorHAnsi"/>
        </w:rPr>
      </w:pPr>
      <w:r w:rsidRPr="00266C2A">
        <w:rPr>
          <w:rFonts w:ascii="Lato" w:hAnsi="Lato" w:cstheme="minorHAnsi"/>
        </w:rPr>
        <w:t>Atrybut „</w:t>
      </w:r>
      <w:proofErr w:type="spellStart"/>
      <w:r w:rsidRPr="00266C2A">
        <w:rPr>
          <w:rFonts w:ascii="Lato" w:hAnsi="Lato" w:cstheme="minorHAnsi"/>
        </w:rPr>
        <w:t>geogObszarWaznosciKod</w:t>
      </w:r>
      <w:proofErr w:type="spellEnd"/>
      <w:r w:rsidRPr="00266C2A">
        <w:rPr>
          <w:rFonts w:ascii="Lato" w:hAnsi="Lato" w:cstheme="minorHAnsi"/>
        </w:rPr>
        <w:t xml:space="preserve">” podpięcie słownika PDR 1617 oraz dodanie reguły wymagającej wystąpienia kodu = 3 </w:t>
      </w:r>
    </w:p>
    <w:p w14:paraId="494F44DB" w14:textId="3709A3D8"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Dodanie nowego atrybutu przechowującego wartość „Kod rodzaju wniosku” ze stałą wartością OPO lub TEA (zależnie od formularza) </w:t>
      </w:r>
    </w:p>
    <w:p w14:paraId="0111694B" w14:textId="1E0ED8AC"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Dodanie nowego atrybutu przechowującego kod wniosku „OPO”. </w:t>
      </w:r>
    </w:p>
    <w:p w14:paraId="194D83D4" w14:textId="77777777"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Modyfikacja węzła </w:t>
      </w:r>
      <w:proofErr w:type="spellStart"/>
      <w:r w:rsidRPr="00266C2A">
        <w:rPr>
          <w:rFonts w:ascii="Lato" w:hAnsi="Lato" w:cstheme="minorHAnsi"/>
        </w:rPr>
        <w:t>DataRozpoczeciaWaznosciPozwolenia</w:t>
      </w:r>
      <w:proofErr w:type="spellEnd"/>
      <w:r w:rsidRPr="00266C2A">
        <w:rPr>
          <w:rFonts w:ascii="Lato" w:hAnsi="Lato" w:cstheme="minorHAnsi"/>
        </w:rPr>
        <w:t xml:space="preserve"> </w:t>
      </w:r>
    </w:p>
    <w:p w14:paraId="6CFB64B8" w14:textId="4E6C39A4" w:rsidR="00F42167" w:rsidRPr="00266C2A" w:rsidRDefault="00F42167" w:rsidP="00955463">
      <w:pPr>
        <w:widowControl w:val="0"/>
        <w:spacing w:before="120" w:after="120" w:line="240" w:lineRule="auto"/>
        <w:rPr>
          <w:rFonts w:ascii="Lato" w:hAnsi="Lato" w:cstheme="minorHAnsi"/>
          <w:sz w:val="24"/>
          <w:szCs w:val="24"/>
        </w:rPr>
      </w:pPr>
      <w:r w:rsidRPr="00266C2A">
        <w:rPr>
          <w:rFonts w:ascii="Lato" w:hAnsi="Lato" w:cstheme="minorHAnsi"/>
          <w:sz w:val="24"/>
          <w:szCs w:val="24"/>
        </w:rPr>
        <w:t>Odpięcie R659 od atrybutów „</w:t>
      </w:r>
      <w:proofErr w:type="spellStart"/>
      <w:r w:rsidRPr="00266C2A">
        <w:rPr>
          <w:rFonts w:ascii="Lato" w:hAnsi="Lato" w:cstheme="minorHAnsi"/>
          <w:sz w:val="24"/>
          <w:szCs w:val="24"/>
        </w:rPr>
        <w:t>dataOd</w:t>
      </w:r>
      <w:proofErr w:type="spellEnd"/>
      <w:r w:rsidRPr="00266C2A">
        <w:rPr>
          <w:rFonts w:ascii="Lato" w:hAnsi="Lato" w:cstheme="minorHAnsi"/>
          <w:sz w:val="24"/>
          <w:szCs w:val="24"/>
        </w:rPr>
        <w:t xml:space="preserve">” oraz „opis” </w:t>
      </w:r>
    </w:p>
    <w:p w14:paraId="0353C7CE" w14:textId="665DFA90"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Węzeł </w:t>
      </w:r>
      <w:proofErr w:type="spellStart"/>
      <w:r w:rsidRPr="00266C2A">
        <w:rPr>
          <w:rFonts w:ascii="Lato" w:hAnsi="Lato" w:cstheme="minorHAnsi"/>
          <w:b/>
          <w:bCs/>
        </w:rPr>
        <w:t>PrzedstawicielPodmiot</w:t>
      </w:r>
      <w:proofErr w:type="spellEnd"/>
      <w:r w:rsidRPr="00266C2A">
        <w:rPr>
          <w:rFonts w:ascii="Lato" w:hAnsi="Lato" w:cstheme="minorHAnsi"/>
        </w:rPr>
        <w:t xml:space="preserve"> oraz </w:t>
      </w:r>
      <w:proofErr w:type="spellStart"/>
      <w:r w:rsidRPr="00266C2A">
        <w:rPr>
          <w:rFonts w:ascii="Lato" w:hAnsi="Lato" w:cstheme="minorHAnsi"/>
          <w:b/>
          <w:bCs/>
        </w:rPr>
        <w:t>PrzedstawicielOsoba</w:t>
      </w:r>
      <w:proofErr w:type="spellEnd"/>
      <w:r w:rsidRPr="00266C2A">
        <w:rPr>
          <w:rFonts w:ascii="Lato" w:hAnsi="Lato" w:cstheme="minorHAnsi"/>
        </w:rPr>
        <w:t xml:space="preserve"> dodanie reguły wymagającej podanie Polskiego adresu przedstawiciela. </w:t>
      </w:r>
    </w:p>
    <w:p w14:paraId="619014A2" w14:textId="5F8DCCED" w:rsidR="00F42167" w:rsidRPr="00266C2A" w:rsidRDefault="00F42167" w:rsidP="00955463">
      <w:pPr>
        <w:widowControl w:val="0"/>
        <w:spacing w:before="120" w:after="120"/>
        <w:rPr>
          <w:rFonts w:ascii="Lato" w:hAnsi="Lato" w:cstheme="minorHAnsi"/>
        </w:rPr>
      </w:pPr>
      <w:r w:rsidRPr="00266C2A">
        <w:rPr>
          <w:rFonts w:ascii="Lato" w:hAnsi="Lato" w:cstheme="minorHAnsi"/>
        </w:rPr>
        <w:t>Węzeł „</w:t>
      </w:r>
      <w:proofErr w:type="spellStart"/>
      <w:r w:rsidRPr="00266C2A">
        <w:rPr>
          <w:rFonts w:ascii="Lato" w:hAnsi="Lato" w:cstheme="minorHAnsi"/>
        </w:rPr>
        <w:t>KsiegiRachunkowe</w:t>
      </w:r>
      <w:proofErr w:type="spellEnd"/>
      <w:r w:rsidRPr="00266C2A">
        <w:rPr>
          <w:rFonts w:ascii="Lato" w:hAnsi="Lato" w:cstheme="minorHAnsi"/>
        </w:rPr>
        <w:t>:</w:t>
      </w:r>
    </w:p>
    <w:p w14:paraId="6F746510" w14:textId="5DFB88FF" w:rsidR="00F42167" w:rsidRPr="00266C2A" w:rsidRDefault="00F42167" w:rsidP="00955463">
      <w:pPr>
        <w:widowControl w:val="0"/>
        <w:spacing w:before="120" w:after="120"/>
        <w:rPr>
          <w:rFonts w:ascii="Lato" w:hAnsi="Lato" w:cstheme="minorHAnsi"/>
        </w:rPr>
      </w:pPr>
      <w:proofErr w:type="spellStart"/>
      <w:r w:rsidRPr="00266C2A">
        <w:rPr>
          <w:rFonts w:ascii="Lato" w:hAnsi="Lato" w:cstheme="minorHAnsi"/>
          <w:b/>
          <w:bCs/>
        </w:rPr>
        <w:t>MiejsceProwadzenia</w:t>
      </w:r>
      <w:proofErr w:type="spellEnd"/>
      <w:r w:rsidRPr="00266C2A">
        <w:rPr>
          <w:rFonts w:ascii="Lato" w:hAnsi="Lato" w:cstheme="minorHAnsi"/>
        </w:rPr>
        <w:t>” dodanie reguły wymuszającej podanie polskiego adresu</w:t>
      </w:r>
    </w:p>
    <w:p w14:paraId="5F560B53" w14:textId="61F8E357"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Dodanie reguły wymagającej wystąpienia węzła dla typu wniosku = 1 (nowy wniosek), dla pozostałych typów węzeł nie może wystąpić </w:t>
      </w:r>
    </w:p>
    <w:p w14:paraId="4C80EBF1" w14:textId="2700BB64" w:rsidR="00F42167" w:rsidRPr="00266C2A" w:rsidRDefault="00F42167" w:rsidP="00955463">
      <w:pPr>
        <w:widowControl w:val="0"/>
        <w:spacing w:before="120" w:after="120" w:line="240" w:lineRule="auto"/>
        <w:rPr>
          <w:rFonts w:ascii="Lato" w:hAnsi="Lato" w:cstheme="minorHAnsi"/>
          <w:sz w:val="24"/>
          <w:szCs w:val="24"/>
        </w:rPr>
      </w:pPr>
      <w:r w:rsidRPr="00266C2A">
        <w:rPr>
          <w:rFonts w:ascii="Lato" w:hAnsi="Lato" w:cstheme="minorHAnsi"/>
        </w:rPr>
        <w:t>Węzeł „</w:t>
      </w:r>
      <w:proofErr w:type="spellStart"/>
      <w:r w:rsidRPr="00266C2A">
        <w:rPr>
          <w:rFonts w:ascii="Lato" w:hAnsi="Lato" w:cstheme="minorHAnsi"/>
        </w:rPr>
        <w:t>EwidencjeCelne</w:t>
      </w:r>
      <w:proofErr w:type="spellEnd"/>
      <w:r w:rsidRPr="00266C2A">
        <w:rPr>
          <w:rFonts w:ascii="Lato" w:hAnsi="Lato" w:cstheme="minorHAnsi"/>
        </w:rPr>
        <w:t>:</w:t>
      </w:r>
    </w:p>
    <w:p w14:paraId="08E858F2" w14:textId="5ED8BA53" w:rsidR="00F42167" w:rsidRPr="00266C2A" w:rsidRDefault="00F42167" w:rsidP="00955463">
      <w:pPr>
        <w:widowControl w:val="0"/>
        <w:spacing w:before="120" w:after="120"/>
        <w:rPr>
          <w:rFonts w:ascii="Lato" w:hAnsi="Lato" w:cstheme="minorHAnsi"/>
        </w:rPr>
      </w:pPr>
      <w:proofErr w:type="spellStart"/>
      <w:r w:rsidRPr="00266C2A">
        <w:rPr>
          <w:rFonts w:ascii="Lato" w:hAnsi="Lato" w:cstheme="minorHAnsi"/>
          <w:b/>
          <w:bCs/>
        </w:rPr>
        <w:t>MiejsceProwadzenia</w:t>
      </w:r>
      <w:proofErr w:type="spellEnd"/>
      <w:r w:rsidRPr="00266C2A">
        <w:rPr>
          <w:rFonts w:ascii="Lato" w:hAnsi="Lato" w:cstheme="minorHAnsi"/>
        </w:rPr>
        <w:t xml:space="preserve">” dodanie reguły wymuszającej podanie polskiego adresu.  </w:t>
      </w:r>
    </w:p>
    <w:p w14:paraId="54A8DE9B" w14:textId="02453198"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Dodanie reguły wymagającej wystąpienia węzła dla typu wniosku = 1 (nowy wniosek), dla pozostałych typów węzeł nie może wystąpić </w:t>
      </w:r>
    </w:p>
    <w:p w14:paraId="1934AEE2" w14:textId="742D95E8" w:rsidR="00F42167" w:rsidRPr="00266C2A" w:rsidRDefault="00F42167" w:rsidP="00955463">
      <w:pPr>
        <w:widowControl w:val="0"/>
        <w:spacing w:before="120" w:after="120"/>
        <w:rPr>
          <w:rFonts w:ascii="Lato" w:hAnsi="Lato" w:cstheme="minorHAnsi"/>
        </w:rPr>
      </w:pPr>
      <w:r w:rsidRPr="00266C2A">
        <w:rPr>
          <w:rFonts w:ascii="Lato" w:hAnsi="Lato" w:cstheme="minorHAnsi"/>
        </w:rPr>
        <w:t>Węzeł „</w:t>
      </w:r>
      <w:proofErr w:type="spellStart"/>
      <w:r w:rsidRPr="00266C2A">
        <w:rPr>
          <w:rFonts w:ascii="Lato" w:hAnsi="Lato" w:cstheme="minorHAnsi"/>
        </w:rPr>
        <w:t>MiejscePrzetwarzania</w:t>
      </w:r>
      <w:proofErr w:type="spellEnd"/>
      <w:r w:rsidRPr="00266C2A">
        <w:rPr>
          <w:rFonts w:ascii="Lato" w:hAnsi="Lato" w:cstheme="minorHAnsi"/>
        </w:rPr>
        <w:t xml:space="preserve"> / </w:t>
      </w:r>
      <w:proofErr w:type="spellStart"/>
      <w:r w:rsidRPr="00266C2A">
        <w:rPr>
          <w:rFonts w:ascii="Lato" w:hAnsi="Lato" w:cstheme="minorHAnsi"/>
          <w:b/>
          <w:bCs/>
        </w:rPr>
        <w:t>LokalizacjaAdres</w:t>
      </w:r>
      <w:proofErr w:type="spellEnd"/>
      <w:r w:rsidRPr="00266C2A">
        <w:rPr>
          <w:rFonts w:ascii="Lato" w:hAnsi="Lato" w:cstheme="minorHAnsi"/>
        </w:rPr>
        <w:t xml:space="preserve">” dodanie nowego atrybutu „Nazwa” (an..512) </w:t>
      </w:r>
    </w:p>
    <w:p w14:paraId="6857688D" w14:textId="6DA0E888" w:rsidR="00F42167" w:rsidRPr="00266C2A" w:rsidRDefault="00F42167" w:rsidP="00955463">
      <w:pPr>
        <w:widowControl w:val="0"/>
        <w:spacing w:before="120" w:after="120"/>
        <w:rPr>
          <w:rFonts w:ascii="Lato" w:hAnsi="Lato" w:cstheme="minorHAnsi"/>
        </w:rPr>
      </w:pPr>
      <w:r w:rsidRPr="00266C2A">
        <w:rPr>
          <w:rFonts w:ascii="Lato" w:hAnsi="Lato" w:cstheme="minorHAnsi"/>
        </w:rPr>
        <w:t>Węzeł „</w:t>
      </w:r>
      <w:proofErr w:type="spellStart"/>
      <w:r w:rsidRPr="00266C2A">
        <w:rPr>
          <w:rFonts w:ascii="Lato" w:hAnsi="Lato" w:cstheme="minorHAnsi"/>
          <w:b/>
          <w:bCs/>
        </w:rPr>
        <w:t>UCObjecia</w:t>
      </w:r>
      <w:proofErr w:type="spellEnd"/>
      <w:r w:rsidRPr="00266C2A">
        <w:rPr>
          <w:rFonts w:ascii="Lato" w:hAnsi="Lato" w:cstheme="minorHAnsi"/>
        </w:rPr>
        <w:t>”, atrybut „kod” zmiana słownika PDR na nowy słownik widokowy</w:t>
      </w:r>
      <w:r w:rsidR="003F41C2" w:rsidRPr="00266C2A">
        <w:rPr>
          <w:rFonts w:ascii="Lato" w:hAnsi="Lato" w:cstheme="minorHAnsi"/>
        </w:rPr>
        <w:t xml:space="preserve"> (słownik zostanie wskazany).</w:t>
      </w:r>
      <w:r w:rsidRPr="00266C2A">
        <w:rPr>
          <w:rFonts w:ascii="Lato" w:hAnsi="Lato" w:cstheme="minorHAnsi"/>
        </w:rPr>
        <w:t xml:space="preserve"> </w:t>
      </w:r>
    </w:p>
    <w:p w14:paraId="5CA41646" w14:textId="77777777" w:rsidR="003F41C2" w:rsidRPr="00266C2A" w:rsidRDefault="00F42167" w:rsidP="00955463">
      <w:pPr>
        <w:widowControl w:val="0"/>
        <w:spacing w:before="120" w:after="120"/>
        <w:rPr>
          <w:rFonts w:ascii="Lato" w:hAnsi="Lato" w:cstheme="minorHAnsi"/>
        </w:rPr>
      </w:pPr>
      <w:r w:rsidRPr="00266C2A">
        <w:rPr>
          <w:rFonts w:ascii="Lato" w:hAnsi="Lato" w:cstheme="minorHAnsi"/>
        </w:rPr>
        <w:lastRenderedPageBreak/>
        <w:t>Węzeł „</w:t>
      </w:r>
      <w:proofErr w:type="spellStart"/>
      <w:r w:rsidRPr="00266C2A">
        <w:rPr>
          <w:rFonts w:ascii="Lato" w:hAnsi="Lato" w:cstheme="minorHAnsi"/>
          <w:b/>
          <w:bCs/>
        </w:rPr>
        <w:t>UCZamkniecia</w:t>
      </w:r>
      <w:proofErr w:type="spellEnd"/>
      <w:r w:rsidRPr="00266C2A">
        <w:rPr>
          <w:rFonts w:ascii="Lato" w:hAnsi="Lato" w:cstheme="minorHAnsi"/>
        </w:rPr>
        <w:t xml:space="preserve">”, atrybut „kod” zmiana słownika PDR na nowy słownik widokowy </w:t>
      </w:r>
      <w:r w:rsidR="003F41C2" w:rsidRPr="00266C2A">
        <w:rPr>
          <w:rFonts w:ascii="Lato" w:hAnsi="Lato" w:cstheme="minorHAnsi"/>
        </w:rPr>
        <w:t xml:space="preserve">(słownik zostanie wskazany). </w:t>
      </w:r>
    </w:p>
    <w:p w14:paraId="032CA241" w14:textId="59B31497" w:rsidR="00F42167" w:rsidRPr="00266C2A" w:rsidRDefault="00F42167" w:rsidP="00955463">
      <w:pPr>
        <w:widowControl w:val="0"/>
        <w:spacing w:before="120" w:after="120"/>
        <w:rPr>
          <w:rFonts w:ascii="Lato" w:hAnsi="Lato" w:cstheme="minorHAnsi"/>
        </w:rPr>
      </w:pPr>
      <w:r w:rsidRPr="00266C2A">
        <w:rPr>
          <w:rFonts w:ascii="Lato" w:hAnsi="Lato" w:cstheme="minorHAnsi"/>
        </w:rPr>
        <w:t>Węzeł „</w:t>
      </w:r>
      <w:proofErr w:type="spellStart"/>
      <w:r w:rsidRPr="00266C2A">
        <w:rPr>
          <w:rFonts w:ascii="Lato" w:hAnsi="Lato" w:cstheme="minorHAnsi"/>
        </w:rPr>
        <w:t>UCKontrolny</w:t>
      </w:r>
      <w:proofErr w:type="spellEnd"/>
      <w:r w:rsidRPr="00266C2A">
        <w:rPr>
          <w:rFonts w:ascii="Lato" w:hAnsi="Lato" w:cstheme="minorHAnsi"/>
        </w:rPr>
        <w:t>” (</w:t>
      </w:r>
      <w:r w:rsidRPr="00266C2A">
        <w:rPr>
          <w:rFonts w:ascii="Lato" w:hAnsi="Lato" w:cstheme="minorHAnsi"/>
          <w:b/>
          <w:bCs/>
        </w:rPr>
        <w:t>pozwolenie</w:t>
      </w:r>
      <w:r w:rsidRPr="00266C2A">
        <w:rPr>
          <w:rFonts w:ascii="Lato" w:hAnsi="Lato" w:cstheme="minorHAnsi"/>
        </w:rPr>
        <w:t xml:space="preserve">), atrybut „kod” zmiana słownika PDR na 001E </w:t>
      </w:r>
    </w:p>
    <w:p w14:paraId="4287F10E" w14:textId="4C58800F"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Węzeł </w:t>
      </w:r>
      <w:r w:rsidRPr="00266C2A">
        <w:rPr>
          <w:rFonts w:ascii="Lato" w:hAnsi="Lato" w:cstheme="minorHAnsi"/>
          <w:b/>
          <w:bCs/>
        </w:rPr>
        <w:t>Zabezpieczenie</w:t>
      </w:r>
      <w:r w:rsidRPr="00266C2A">
        <w:rPr>
          <w:rFonts w:ascii="Lato" w:hAnsi="Lato" w:cstheme="minorHAnsi"/>
        </w:rPr>
        <w:t xml:space="preserve">, atrybut </w:t>
      </w:r>
      <w:proofErr w:type="spellStart"/>
      <w:r w:rsidRPr="00266C2A">
        <w:rPr>
          <w:rFonts w:ascii="Lato" w:hAnsi="Lato" w:cstheme="minorHAnsi"/>
        </w:rPr>
        <w:t>wymaganeZabezpieczenieKod</w:t>
      </w:r>
      <w:proofErr w:type="spellEnd"/>
      <w:r w:rsidRPr="00266C2A">
        <w:rPr>
          <w:rFonts w:ascii="Lato" w:hAnsi="Lato" w:cstheme="minorHAnsi"/>
        </w:rPr>
        <w:t xml:space="preserve"> będzie przyjmował wartości: „0-Nie wymaga się zabezpieczenia” oraz „1-Wymaga się zabezpieczenia”.</w:t>
      </w:r>
    </w:p>
    <w:p w14:paraId="74378B03" w14:textId="774BE646" w:rsidR="00F42167" w:rsidRPr="00266C2A" w:rsidRDefault="00F42167" w:rsidP="00955463">
      <w:pPr>
        <w:widowControl w:val="0"/>
        <w:spacing w:before="120" w:after="120"/>
        <w:rPr>
          <w:rFonts w:ascii="Lato" w:hAnsi="Lato" w:cstheme="minorHAnsi"/>
          <w:color w:val="FF0000"/>
        </w:rPr>
      </w:pPr>
      <w:r w:rsidRPr="00266C2A">
        <w:rPr>
          <w:rFonts w:ascii="Lato" w:hAnsi="Lato" w:cstheme="minorHAnsi"/>
        </w:rPr>
        <w:t>Do węzła zostanie dodana następująca reguła</w:t>
      </w:r>
      <w:r w:rsidRPr="00266C2A">
        <w:rPr>
          <w:rFonts w:ascii="Lato" w:hAnsi="Lato" w:cstheme="minorHAnsi"/>
          <w:i/>
          <w:iCs/>
        </w:rPr>
        <w:t xml:space="preserve">: { Węzeł Zabezpieczenie (z wartością </w:t>
      </w:r>
      <w:proofErr w:type="spellStart"/>
      <w:r w:rsidRPr="00266C2A">
        <w:rPr>
          <w:rFonts w:ascii="Lato" w:hAnsi="Lato" w:cstheme="minorHAnsi"/>
          <w:i/>
          <w:iCs/>
        </w:rPr>
        <w:t>wymaganeZabezpieczenieKod</w:t>
      </w:r>
      <w:proofErr w:type="spellEnd"/>
      <w:r w:rsidRPr="00266C2A">
        <w:rPr>
          <w:rFonts w:ascii="Lato" w:hAnsi="Lato" w:cstheme="minorHAnsi"/>
          <w:i/>
          <w:iCs/>
        </w:rPr>
        <w:t xml:space="preserve"> = 0 lub 1) musi wystąpić </w:t>
      </w:r>
      <w:r w:rsidRPr="00266C2A">
        <w:rPr>
          <w:rFonts w:ascii="Lato" w:hAnsi="Lato" w:cstheme="minorHAnsi"/>
          <w:b/>
          <w:bCs/>
          <w:i/>
          <w:iCs/>
        </w:rPr>
        <w:t>jeżeli</w:t>
      </w:r>
      <w:r w:rsidRPr="00266C2A">
        <w:rPr>
          <w:rFonts w:ascii="Lato" w:hAnsi="Lato" w:cstheme="minorHAnsi"/>
          <w:i/>
          <w:iCs/>
        </w:rPr>
        <w:t xml:space="preserve">: zaznaczona jest odpowiedź TAK na pytanie „Czy planowany uprzedni przywóz produktów przetworzonych?” w Sekcji Uprzedni Przywóz Produktów Przetworzonych, </w:t>
      </w:r>
      <w:r w:rsidRPr="00266C2A">
        <w:rPr>
          <w:rFonts w:ascii="Lato" w:hAnsi="Lato" w:cstheme="minorHAnsi"/>
          <w:b/>
          <w:bCs/>
          <w:i/>
          <w:iCs/>
        </w:rPr>
        <w:t>lub</w:t>
      </w:r>
      <w:r w:rsidRPr="00266C2A">
        <w:rPr>
          <w:rFonts w:ascii="Lato" w:hAnsi="Lato" w:cstheme="minorHAnsi"/>
          <w:i/>
          <w:iCs/>
        </w:rPr>
        <w:t xml:space="preserve"> zaznaczona jest odpowiedź TAK na pytanie „Czy planowany uprzedni przywóz produktów zamiennych?” w podsekcji „Uprzedni Przywóz Produktów Zamiennych”. </w:t>
      </w:r>
      <w:r w:rsidRPr="00266C2A">
        <w:rPr>
          <w:rFonts w:ascii="Lato" w:hAnsi="Lato" w:cstheme="minorHAnsi"/>
          <w:b/>
          <w:bCs/>
          <w:i/>
          <w:iCs/>
        </w:rPr>
        <w:t>w przeciwnym wypadku</w:t>
      </w:r>
      <w:r w:rsidRPr="00266C2A">
        <w:rPr>
          <w:rFonts w:ascii="Lato" w:hAnsi="Lato" w:cstheme="minorHAnsi"/>
          <w:i/>
          <w:iCs/>
        </w:rPr>
        <w:t xml:space="preserve"> nie może wystąpić</w:t>
      </w:r>
      <w:r w:rsidRPr="00266C2A">
        <w:rPr>
          <w:rFonts w:ascii="Lato" w:hAnsi="Lato" w:cstheme="minorHAnsi"/>
        </w:rPr>
        <w:t>.}</w:t>
      </w:r>
    </w:p>
    <w:p w14:paraId="11DCE5A2" w14:textId="77777777"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Węzeł </w:t>
      </w:r>
      <w:proofErr w:type="spellStart"/>
      <w:r w:rsidRPr="00266C2A">
        <w:rPr>
          <w:rFonts w:ascii="Lato" w:hAnsi="Lato" w:cstheme="minorHAnsi"/>
          <w:b/>
          <w:bCs/>
        </w:rPr>
        <w:t>ZabezpieczenieGeneralne</w:t>
      </w:r>
      <w:proofErr w:type="spellEnd"/>
      <w:r w:rsidRPr="00266C2A">
        <w:rPr>
          <w:rFonts w:ascii="Lato" w:hAnsi="Lato" w:cstheme="minorHAnsi"/>
        </w:rPr>
        <w:t>:</w:t>
      </w:r>
    </w:p>
    <w:p w14:paraId="62622EEC" w14:textId="481689D1"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Dodanie atrybutu typu </w:t>
      </w:r>
      <w:proofErr w:type="spellStart"/>
      <w:r w:rsidRPr="00266C2A">
        <w:rPr>
          <w:rFonts w:ascii="Lato" w:hAnsi="Lato" w:cstheme="minorHAnsi"/>
        </w:rPr>
        <w:t>checkbox</w:t>
      </w:r>
      <w:proofErr w:type="spellEnd"/>
      <w:r w:rsidRPr="00266C2A">
        <w:rPr>
          <w:rFonts w:ascii="Lato" w:hAnsi="Lato" w:cstheme="minorHAnsi"/>
        </w:rPr>
        <w:t xml:space="preserve"> „</w:t>
      </w:r>
      <w:proofErr w:type="spellStart"/>
      <w:r w:rsidRPr="00266C2A">
        <w:rPr>
          <w:rFonts w:ascii="Lato" w:hAnsi="Lato" w:cstheme="minorHAnsi"/>
        </w:rPr>
        <w:t>zlozeniePrzedPozwoleniem</w:t>
      </w:r>
      <w:proofErr w:type="spellEnd"/>
      <w:r w:rsidRPr="00266C2A">
        <w:rPr>
          <w:rFonts w:ascii="Lato" w:hAnsi="Lato" w:cstheme="minorHAnsi"/>
        </w:rPr>
        <w:t>”  (tak jak dla WDTEA01) wraz z regułą blokującą wystąpienie pozostałych elementów sekcji dla wartości atrybutu „</w:t>
      </w:r>
      <w:proofErr w:type="spellStart"/>
      <w:r w:rsidRPr="00266C2A">
        <w:rPr>
          <w:rFonts w:ascii="Lato" w:hAnsi="Lato" w:cstheme="minorHAnsi"/>
        </w:rPr>
        <w:t>true</w:t>
      </w:r>
      <w:proofErr w:type="spellEnd"/>
      <w:r w:rsidRPr="00266C2A">
        <w:rPr>
          <w:rFonts w:ascii="Lato" w:hAnsi="Lato" w:cstheme="minorHAnsi"/>
        </w:rPr>
        <w:t xml:space="preserve">”. Czyli:  jeśli został zaznaczony </w:t>
      </w:r>
      <w:proofErr w:type="spellStart"/>
      <w:r w:rsidRPr="00266C2A">
        <w:rPr>
          <w:rFonts w:ascii="Lato" w:hAnsi="Lato" w:cstheme="minorHAnsi"/>
        </w:rPr>
        <w:t>checkbox</w:t>
      </w:r>
      <w:proofErr w:type="spellEnd"/>
      <w:r w:rsidRPr="00266C2A">
        <w:rPr>
          <w:rFonts w:ascii="Lato" w:hAnsi="Lato" w:cstheme="minorHAnsi"/>
        </w:rPr>
        <w:t xml:space="preserve"> dla „Zostanie złożone przed wydaniem pozwolenia” to pola na wniosku „Kwota zabezpieczenia”, „Waluta”, „Kod i nazwa urzędu celnego zabezpieczenia”, „Nr GRN” nie mogą wystąpić. </w:t>
      </w:r>
    </w:p>
    <w:p w14:paraId="6BAF00FA" w14:textId="7CBBFD61"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Dodanie nowej reguły do </w:t>
      </w:r>
      <w:r w:rsidRPr="00266C2A">
        <w:rPr>
          <w:rFonts w:ascii="Lato" w:hAnsi="Lato" w:cstheme="minorHAnsi"/>
          <w:b/>
          <w:bCs/>
        </w:rPr>
        <w:t>pozwolenia</w:t>
      </w:r>
      <w:r w:rsidRPr="00266C2A">
        <w:rPr>
          <w:rFonts w:ascii="Lato" w:hAnsi="Lato" w:cstheme="minorHAnsi"/>
        </w:rPr>
        <w:t>: Jeżeli we wniosku zaznaczono „Zostanie złożone przed wydaniem pozwolenia”, wtedy pola w pozwoleniu „Kwota zabezpieczenia”, „Waluta”, „Kod i nazwa urzędu celnego zabezpieczenia”, „Nr GRN” nie mogą być puste.</w:t>
      </w:r>
    </w:p>
    <w:p w14:paraId="33C57094" w14:textId="075884E8"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Atrybut </w:t>
      </w:r>
      <w:proofErr w:type="spellStart"/>
      <w:r w:rsidRPr="00266C2A">
        <w:rPr>
          <w:rFonts w:ascii="Lato" w:hAnsi="Lato" w:cstheme="minorHAnsi"/>
        </w:rPr>
        <w:t>urzadCelnyZabezpieczeniaKod</w:t>
      </w:r>
      <w:proofErr w:type="spellEnd"/>
      <w:r w:rsidRPr="00266C2A">
        <w:rPr>
          <w:rFonts w:ascii="Lato" w:hAnsi="Lato" w:cstheme="minorHAnsi"/>
        </w:rPr>
        <w:t xml:space="preserve"> – podpięcie słownika PDR 001E oraz reguły wymuszającej podanie tylko Izb Administracji Skarbowej dla zabezpieczenia generalnego</w:t>
      </w:r>
      <w:r w:rsidRPr="00266C2A">
        <w:rPr>
          <w:rFonts w:ascii="Lato" w:hAnsi="Lato" w:cstheme="minorHAnsi"/>
          <w:color w:val="00A933"/>
        </w:rPr>
        <w:t xml:space="preserve">. </w:t>
      </w:r>
    </w:p>
    <w:p w14:paraId="387CBE0D" w14:textId="0CF78F74" w:rsidR="00F42167" w:rsidRPr="00266C2A" w:rsidRDefault="00F42167" w:rsidP="00955463">
      <w:pPr>
        <w:widowControl w:val="0"/>
        <w:spacing w:before="120" w:after="120"/>
        <w:rPr>
          <w:rFonts w:ascii="Lato" w:hAnsi="Lato" w:cstheme="minorHAnsi"/>
        </w:rPr>
      </w:pPr>
      <w:r w:rsidRPr="00266C2A">
        <w:rPr>
          <w:rFonts w:ascii="Lato" w:hAnsi="Lato" w:cstheme="minorHAnsi"/>
        </w:rPr>
        <w:t>Atrybut „</w:t>
      </w:r>
      <w:proofErr w:type="spellStart"/>
      <w:r w:rsidRPr="00266C2A">
        <w:rPr>
          <w:rFonts w:ascii="Lato" w:hAnsi="Lato" w:cstheme="minorHAnsi"/>
        </w:rPr>
        <w:t>NrGRN</w:t>
      </w:r>
      <w:proofErr w:type="spellEnd"/>
      <w:r w:rsidRPr="00266C2A">
        <w:rPr>
          <w:rFonts w:ascii="Lato" w:hAnsi="Lato" w:cstheme="minorHAnsi"/>
        </w:rPr>
        <w:t>” dodanie reguły sprawdzającej czy kod IAS zawarty w numerze GRN jest zgodny z kodem IAS wybranym w polu „</w:t>
      </w:r>
      <w:proofErr w:type="spellStart"/>
      <w:r w:rsidRPr="00266C2A">
        <w:rPr>
          <w:rFonts w:ascii="Lato" w:hAnsi="Lato" w:cstheme="minorHAnsi"/>
        </w:rPr>
        <w:t>urzadCelnyZabezpieczeniaKod</w:t>
      </w:r>
      <w:proofErr w:type="spellEnd"/>
      <w:r w:rsidRPr="00266C2A">
        <w:rPr>
          <w:rFonts w:ascii="Lato" w:hAnsi="Lato" w:cstheme="minorHAnsi"/>
        </w:rPr>
        <w:t xml:space="preserve">” </w:t>
      </w:r>
    </w:p>
    <w:p w14:paraId="2493BBDC" w14:textId="77777777"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Węzeł </w:t>
      </w:r>
      <w:proofErr w:type="spellStart"/>
      <w:r w:rsidRPr="00266C2A">
        <w:rPr>
          <w:rFonts w:ascii="Lato" w:hAnsi="Lato" w:cstheme="minorHAnsi"/>
          <w:b/>
          <w:bCs/>
        </w:rPr>
        <w:t>ZabezpieczeniePojedyncze</w:t>
      </w:r>
      <w:proofErr w:type="spellEnd"/>
      <w:r w:rsidRPr="00266C2A">
        <w:rPr>
          <w:rFonts w:ascii="Lato" w:hAnsi="Lato" w:cstheme="minorHAnsi"/>
        </w:rPr>
        <w:t>:</w:t>
      </w:r>
    </w:p>
    <w:p w14:paraId="529AB72B" w14:textId="495483AB"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Atrybut </w:t>
      </w:r>
      <w:proofErr w:type="spellStart"/>
      <w:r w:rsidRPr="00266C2A">
        <w:rPr>
          <w:rFonts w:ascii="Lato" w:hAnsi="Lato" w:cstheme="minorHAnsi"/>
        </w:rPr>
        <w:t>urzadCelnyZabezpieczeniaKod</w:t>
      </w:r>
      <w:proofErr w:type="spellEnd"/>
      <w:r w:rsidRPr="00266C2A">
        <w:rPr>
          <w:rFonts w:ascii="Lato" w:hAnsi="Lato" w:cstheme="minorHAnsi"/>
        </w:rPr>
        <w:t xml:space="preserve"> – podpięcie słownika PDR 001E oraz reguły wymuszającej podanie Urzędu Celno-Skarbowego </w:t>
      </w:r>
    </w:p>
    <w:p w14:paraId="6EEDEAF9" w14:textId="77777777" w:rsidR="00F42167" w:rsidRPr="00266C2A" w:rsidRDefault="00F42167" w:rsidP="00955463">
      <w:pPr>
        <w:widowControl w:val="0"/>
        <w:spacing w:before="120" w:after="120"/>
        <w:rPr>
          <w:rFonts w:ascii="Lato" w:hAnsi="Lato" w:cstheme="minorHAnsi"/>
        </w:rPr>
      </w:pPr>
      <w:r w:rsidRPr="00266C2A">
        <w:rPr>
          <w:rFonts w:ascii="Lato" w:hAnsi="Lato" w:cstheme="minorHAnsi"/>
        </w:rPr>
        <w:t>Węzeł „</w:t>
      </w:r>
      <w:proofErr w:type="spellStart"/>
      <w:r w:rsidRPr="00266C2A">
        <w:rPr>
          <w:rFonts w:ascii="Lato" w:hAnsi="Lato" w:cstheme="minorHAnsi"/>
          <w:b/>
          <w:bCs/>
        </w:rPr>
        <w:t>TowarObejmowany</w:t>
      </w:r>
      <w:proofErr w:type="spellEnd"/>
      <w:r w:rsidRPr="00266C2A">
        <w:rPr>
          <w:rFonts w:ascii="Lato" w:hAnsi="Lato" w:cstheme="minorHAnsi"/>
        </w:rPr>
        <w:t>”:</w:t>
      </w:r>
    </w:p>
    <w:p w14:paraId="385C3D75" w14:textId="3C62E4C0" w:rsidR="00F42167" w:rsidRPr="00266C2A" w:rsidRDefault="00F42167" w:rsidP="00955463">
      <w:pPr>
        <w:widowControl w:val="0"/>
        <w:spacing w:before="120" w:after="120"/>
        <w:rPr>
          <w:rFonts w:ascii="Lato" w:hAnsi="Lato" w:cstheme="minorHAnsi"/>
        </w:rPr>
      </w:pPr>
      <w:r w:rsidRPr="00266C2A">
        <w:rPr>
          <w:rFonts w:ascii="Lato" w:hAnsi="Lato" w:cstheme="minorHAnsi"/>
        </w:rPr>
        <w:t>Dodanie do węzła atrybutów: „</w:t>
      </w:r>
      <w:proofErr w:type="spellStart"/>
      <w:r w:rsidRPr="00266C2A">
        <w:rPr>
          <w:rFonts w:ascii="Lato" w:hAnsi="Lato" w:cstheme="minorHAnsi"/>
        </w:rPr>
        <w:t>KodIdentyfikacjiTowarow</w:t>
      </w:r>
      <w:proofErr w:type="spellEnd"/>
      <w:r w:rsidRPr="00266C2A">
        <w:rPr>
          <w:rFonts w:ascii="Lato" w:hAnsi="Lato" w:cstheme="minorHAnsi"/>
        </w:rPr>
        <w:t>” (przyjmujący kody z PDR180) oraz „</w:t>
      </w:r>
      <w:proofErr w:type="spellStart"/>
      <w:r w:rsidRPr="00266C2A">
        <w:rPr>
          <w:rFonts w:ascii="Lato" w:hAnsi="Lato" w:cstheme="minorHAnsi"/>
        </w:rPr>
        <w:t>OpisIdentyfikacjiTowarow</w:t>
      </w:r>
      <w:proofErr w:type="spellEnd"/>
      <w:r w:rsidRPr="00266C2A">
        <w:rPr>
          <w:rFonts w:ascii="Lato" w:hAnsi="Lato" w:cstheme="minorHAnsi"/>
        </w:rPr>
        <w:t xml:space="preserve">” (tekstowe 512 znaków). Kod i opis będą powiązane z towarem (identyfikacja per towar) </w:t>
      </w:r>
    </w:p>
    <w:p w14:paraId="45AE73AA" w14:textId="54316F3C" w:rsidR="00F42167" w:rsidRPr="00266C2A" w:rsidRDefault="00F42167" w:rsidP="00955463">
      <w:pPr>
        <w:widowControl w:val="0"/>
        <w:spacing w:before="120" w:after="120"/>
        <w:rPr>
          <w:rFonts w:ascii="Lato" w:hAnsi="Lato" w:cstheme="minorHAnsi"/>
          <w:b/>
          <w:bCs/>
        </w:rPr>
      </w:pPr>
      <w:r w:rsidRPr="00266C2A">
        <w:rPr>
          <w:rFonts w:ascii="Lato" w:hAnsi="Lato" w:cstheme="minorHAnsi"/>
        </w:rPr>
        <w:t>Atrybut „</w:t>
      </w:r>
      <w:proofErr w:type="spellStart"/>
      <w:r w:rsidRPr="00266C2A">
        <w:rPr>
          <w:rFonts w:ascii="Lato" w:hAnsi="Lato" w:cstheme="minorHAnsi"/>
        </w:rPr>
        <w:t>kodCnTowaru</w:t>
      </w:r>
      <w:proofErr w:type="spellEnd"/>
      <w:r w:rsidRPr="00266C2A">
        <w:rPr>
          <w:rFonts w:ascii="Lato" w:hAnsi="Lato" w:cstheme="minorHAnsi"/>
        </w:rPr>
        <w:t xml:space="preserve">” zmiana z </w:t>
      </w:r>
      <w:proofErr w:type="spellStart"/>
      <w:r w:rsidRPr="00266C2A">
        <w:rPr>
          <w:rFonts w:ascii="Lato" w:hAnsi="Lato" w:cstheme="minorHAnsi"/>
        </w:rPr>
        <w:t>maxLen</w:t>
      </w:r>
      <w:proofErr w:type="spellEnd"/>
      <w:r w:rsidRPr="00266C2A">
        <w:rPr>
          <w:rFonts w:ascii="Lato" w:hAnsi="Lato" w:cstheme="minorHAnsi"/>
        </w:rPr>
        <w:t xml:space="preserve">=8 na </w:t>
      </w:r>
      <w:proofErr w:type="spellStart"/>
      <w:r w:rsidRPr="00266C2A">
        <w:rPr>
          <w:rFonts w:ascii="Lato" w:hAnsi="Lato" w:cstheme="minorHAnsi"/>
          <w:b/>
          <w:bCs/>
        </w:rPr>
        <w:t>minLen</w:t>
      </w:r>
      <w:proofErr w:type="spellEnd"/>
      <w:r w:rsidRPr="00266C2A">
        <w:rPr>
          <w:rFonts w:ascii="Lato" w:hAnsi="Lato" w:cstheme="minorHAnsi"/>
          <w:b/>
          <w:bCs/>
        </w:rPr>
        <w:t xml:space="preserve"> =4; </w:t>
      </w:r>
      <w:proofErr w:type="spellStart"/>
      <w:r w:rsidRPr="00266C2A">
        <w:rPr>
          <w:rFonts w:ascii="Lato" w:hAnsi="Lato" w:cstheme="minorHAnsi"/>
          <w:b/>
          <w:bCs/>
        </w:rPr>
        <w:t>maxLen</w:t>
      </w:r>
      <w:proofErr w:type="spellEnd"/>
      <w:r w:rsidRPr="00266C2A">
        <w:rPr>
          <w:rFonts w:ascii="Lato" w:hAnsi="Lato" w:cstheme="minorHAnsi"/>
          <w:b/>
          <w:bCs/>
        </w:rPr>
        <w:t xml:space="preserve">=10 </w:t>
      </w:r>
    </w:p>
    <w:p w14:paraId="50982982" w14:textId="58873BFA"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Atrybut „Opis” – dodanie obligatoryjności </w:t>
      </w:r>
    </w:p>
    <w:p w14:paraId="76C7B43E" w14:textId="77777777" w:rsidR="00F42167" w:rsidRPr="00266C2A" w:rsidRDefault="00F42167" w:rsidP="00955463">
      <w:pPr>
        <w:widowControl w:val="0"/>
        <w:spacing w:before="120" w:after="120"/>
        <w:rPr>
          <w:rFonts w:ascii="Lato" w:hAnsi="Lato" w:cstheme="minorHAnsi"/>
        </w:rPr>
      </w:pPr>
      <w:r w:rsidRPr="00266C2A">
        <w:rPr>
          <w:rFonts w:ascii="Lato" w:hAnsi="Lato" w:cstheme="minorHAnsi"/>
        </w:rPr>
        <w:t>Węzeł „</w:t>
      </w:r>
      <w:proofErr w:type="spellStart"/>
      <w:r w:rsidRPr="00266C2A">
        <w:rPr>
          <w:rFonts w:ascii="Lato" w:hAnsi="Lato" w:cstheme="minorHAnsi"/>
          <w:b/>
          <w:bCs/>
        </w:rPr>
        <w:t>TowarEkwiwalenty</w:t>
      </w:r>
      <w:proofErr w:type="spellEnd"/>
      <w:r w:rsidRPr="00266C2A">
        <w:rPr>
          <w:rFonts w:ascii="Lato" w:hAnsi="Lato" w:cstheme="minorHAnsi"/>
        </w:rPr>
        <w:t>”:</w:t>
      </w:r>
    </w:p>
    <w:p w14:paraId="665AA0F0" w14:textId="358B7AEC" w:rsidR="00F42167" w:rsidRPr="00266C2A" w:rsidRDefault="00F42167" w:rsidP="00955463">
      <w:pPr>
        <w:widowControl w:val="0"/>
        <w:spacing w:before="120" w:after="120"/>
        <w:rPr>
          <w:rFonts w:ascii="Lato" w:hAnsi="Lato" w:cstheme="minorHAnsi"/>
        </w:rPr>
      </w:pPr>
      <w:r w:rsidRPr="00266C2A">
        <w:rPr>
          <w:rFonts w:ascii="Lato" w:hAnsi="Lato" w:cstheme="minorHAnsi"/>
        </w:rPr>
        <w:t>Dodanie do węzła atrybutów: „</w:t>
      </w:r>
      <w:proofErr w:type="spellStart"/>
      <w:r w:rsidRPr="00266C2A">
        <w:rPr>
          <w:rFonts w:ascii="Lato" w:hAnsi="Lato" w:cstheme="minorHAnsi"/>
        </w:rPr>
        <w:t>KodIdentyfikacjiTowarow</w:t>
      </w:r>
      <w:proofErr w:type="spellEnd"/>
      <w:r w:rsidRPr="00266C2A">
        <w:rPr>
          <w:rFonts w:ascii="Lato" w:hAnsi="Lato" w:cstheme="minorHAnsi"/>
        </w:rPr>
        <w:t>” (przyjmujący kody z PDR180) oraz „</w:t>
      </w:r>
      <w:proofErr w:type="spellStart"/>
      <w:r w:rsidRPr="00266C2A">
        <w:rPr>
          <w:rFonts w:ascii="Lato" w:hAnsi="Lato" w:cstheme="minorHAnsi"/>
        </w:rPr>
        <w:t>OpisIdentyfikacjiTowarow</w:t>
      </w:r>
      <w:proofErr w:type="spellEnd"/>
      <w:r w:rsidRPr="00266C2A">
        <w:rPr>
          <w:rFonts w:ascii="Lato" w:hAnsi="Lato" w:cstheme="minorHAnsi"/>
        </w:rPr>
        <w:t xml:space="preserve">” (tekstowe 512 znaków). Kod i opis będą powiązane z towarem (identyfikacja per towar) </w:t>
      </w:r>
    </w:p>
    <w:p w14:paraId="3DDCFF1D" w14:textId="6DA48AAF" w:rsidR="00F42167" w:rsidRPr="00266C2A" w:rsidRDefault="00F42167" w:rsidP="00955463">
      <w:pPr>
        <w:widowControl w:val="0"/>
        <w:spacing w:before="120" w:after="120"/>
        <w:rPr>
          <w:rFonts w:ascii="Lato" w:hAnsi="Lato" w:cstheme="minorHAnsi"/>
        </w:rPr>
      </w:pPr>
      <w:r w:rsidRPr="00266C2A">
        <w:rPr>
          <w:rFonts w:ascii="Lato" w:hAnsi="Lato" w:cstheme="minorHAnsi"/>
        </w:rPr>
        <w:t>Pole „Kod towaru” – wprowadzenie sprawdzenia czy ciąg cyfr wpisywany przez podmiot w tym polu jest zgodny ze słownikiem 028 (na przykład: jeśli w słowniku jest ciąg 10 znaków, a podmiot chce wpisać 8 cyfr, to system uznaje, że 8 znaków jest zgodnych i nie oczekuje dalszego ciągu i nie blokuje działania podmiotu).</w:t>
      </w:r>
    </w:p>
    <w:p w14:paraId="6233D2E6" w14:textId="77777777" w:rsidR="00F42167" w:rsidRPr="00266C2A" w:rsidRDefault="00F42167" w:rsidP="00955463">
      <w:pPr>
        <w:widowControl w:val="0"/>
        <w:spacing w:before="120" w:after="120"/>
        <w:rPr>
          <w:rFonts w:ascii="Lato" w:hAnsi="Lato" w:cstheme="minorHAnsi"/>
        </w:rPr>
      </w:pPr>
      <w:r w:rsidRPr="00266C2A">
        <w:rPr>
          <w:rFonts w:ascii="Lato" w:hAnsi="Lato" w:cstheme="minorHAnsi"/>
        </w:rPr>
        <w:lastRenderedPageBreak/>
        <w:t>Węzeł „</w:t>
      </w:r>
      <w:proofErr w:type="spellStart"/>
      <w:r w:rsidRPr="00266C2A">
        <w:rPr>
          <w:rFonts w:ascii="Lato" w:hAnsi="Lato" w:cstheme="minorHAnsi"/>
          <w:b/>
          <w:bCs/>
        </w:rPr>
        <w:t>StandardowaWymiana</w:t>
      </w:r>
      <w:proofErr w:type="spellEnd"/>
      <w:r w:rsidRPr="00266C2A">
        <w:rPr>
          <w:rFonts w:ascii="Lato" w:hAnsi="Lato" w:cstheme="minorHAnsi"/>
        </w:rPr>
        <w:t>””</w:t>
      </w:r>
    </w:p>
    <w:p w14:paraId="792EB9D0" w14:textId="4EC50C21" w:rsidR="00F42167" w:rsidRPr="00266C2A" w:rsidRDefault="00F42167" w:rsidP="00955463">
      <w:pPr>
        <w:widowControl w:val="0"/>
        <w:spacing w:before="120" w:after="120"/>
        <w:rPr>
          <w:rFonts w:ascii="Lato" w:hAnsi="Lato" w:cstheme="minorHAnsi"/>
        </w:rPr>
      </w:pPr>
      <w:r w:rsidRPr="00266C2A">
        <w:rPr>
          <w:rFonts w:ascii="Lato" w:hAnsi="Lato" w:cstheme="minorHAnsi"/>
        </w:rPr>
        <w:t>Dodanie do węzła „</w:t>
      </w:r>
      <w:proofErr w:type="spellStart"/>
      <w:r w:rsidRPr="00266C2A">
        <w:rPr>
          <w:rFonts w:ascii="Lato" w:hAnsi="Lato" w:cstheme="minorHAnsi"/>
          <w:b/>
          <w:bCs/>
        </w:rPr>
        <w:t>ProduktyZamienne</w:t>
      </w:r>
      <w:proofErr w:type="spellEnd"/>
      <w:r w:rsidRPr="00266C2A">
        <w:rPr>
          <w:rFonts w:ascii="Lato" w:hAnsi="Lato" w:cstheme="minorHAnsi"/>
        </w:rPr>
        <w:t>” atrybutu „</w:t>
      </w:r>
      <w:proofErr w:type="spellStart"/>
      <w:r w:rsidRPr="00266C2A">
        <w:rPr>
          <w:rFonts w:ascii="Lato" w:hAnsi="Lato" w:cstheme="minorHAnsi"/>
        </w:rPr>
        <w:t>OpisIdentyfikacjiTowarow</w:t>
      </w:r>
      <w:proofErr w:type="spellEnd"/>
      <w:r w:rsidRPr="00266C2A">
        <w:rPr>
          <w:rFonts w:ascii="Lato" w:hAnsi="Lato" w:cstheme="minorHAnsi"/>
        </w:rPr>
        <w:t>” (tekstowe 512 znaków) powiązanego z towarem (identyfikacja per towar). Zmiana nazwy atrybutu „Kod” na „</w:t>
      </w:r>
      <w:proofErr w:type="spellStart"/>
      <w:r w:rsidRPr="00266C2A">
        <w:rPr>
          <w:rFonts w:ascii="Lato" w:hAnsi="Lato" w:cstheme="minorHAnsi"/>
        </w:rPr>
        <w:t>KodIdentyfikacjiTowarow</w:t>
      </w:r>
      <w:proofErr w:type="spellEnd"/>
      <w:r w:rsidRPr="00266C2A">
        <w:rPr>
          <w:rFonts w:ascii="Lato" w:hAnsi="Lato" w:cstheme="minorHAnsi"/>
        </w:rPr>
        <w:t xml:space="preserve">” wraz z dodaniem reguły dopuszczającej tylko kody takie jak 4, 5 i 7. </w:t>
      </w:r>
    </w:p>
    <w:p w14:paraId="04E0D612" w14:textId="77777777" w:rsidR="00F42167" w:rsidRPr="00266C2A" w:rsidRDefault="00F42167" w:rsidP="004B450E">
      <w:pPr>
        <w:pStyle w:val="Akapitzlist"/>
        <w:widowControl w:val="0"/>
        <w:spacing w:before="120" w:after="120"/>
        <w:ind w:left="1355"/>
        <w:rPr>
          <w:rFonts w:ascii="Lato" w:hAnsi="Lato" w:cstheme="minorHAnsi"/>
        </w:rPr>
      </w:pPr>
    </w:p>
    <w:p w14:paraId="109B4EDC" w14:textId="32F89109" w:rsidR="00F42167" w:rsidRPr="00266C2A" w:rsidRDefault="00F42167" w:rsidP="00955463">
      <w:pPr>
        <w:widowControl w:val="0"/>
        <w:spacing w:before="120" w:after="120"/>
        <w:rPr>
          <w:rFonts w:ascii="Lato" w:hAnsi="Lato" w:cstheme="minorHAnsi"/>
        </w:rPr>
      </w:pPr>
      <w:r w:rsidRPr="00266C2A">
        <w:rPr>
          <w:rFonts w:ascii="Lato" w:hAnsi="Lato" w:cstheme="minorHAnsi"/>
        </w:rPr>
        <w:t>Dodanie reguły wymagalności dla atrybutów „opis” oraz „</w:t>
      </w:r>
      <w:proofErr w:type="spellStart"/>
      <w:r w:rsidRPr="00266C2A">
        <w:rPr>
          <w:rFonts w:ascii="Lato" w:hAnsi="Lato" w:cstheme="minorHAnsi"/>
        </w:rPr>
        <w:t>rodzajSystemuStandardowejWymiany</w:t>
      </w:r>
      <w:proofErr w:type="spellEnd"/>
      <w:r w:rsidRPr="00266C2A">
        <w:rPr>
          <w:rFonts w:ascii="Lato" w:hAnsi="Lato" w:cstheme="minorHAnsi"/>
        </w:rPr>
        <w:t xml:space="preserve">” jeżeli </w:t>
      </w:r>
      <w:proofErr w:type="spellStart"/>
      <w:r w:rsidRPr="00266C2A">
        <w:rPr>
          <w:rFonts w:ascii="Lato" w:hAnsi="Lato" w:cstheme="minorHAnsi"/>
        </w:rPr>
        <w:t>czyStandardowaWymiana</w:t>
      </w:r>
      <w:proofErr w:type="spellEnd"/>
      <w:r w:rsidRPr="00266C2A">
        <w:rPr>
          <w:rFonts w:ascii="Lato" w:hAnsi="Lato" w:cstheme="minorHAnsi"/>
        </w:rPr>
        <w:t xml:space="preserve"> = tak. </w:t>
      </w:r>
    </w:p>
    <w:p w14:paraId="312D0FC9" w14:textId="48C43203" w:rsidR="00F42167" w:rsidRPr="00266C2A" w:rsidRDefault="00F42167" w:rsidP="00955463">
      <w:pPr>
        <w:widowControl w:val="0"/>
        <w:spacing w:before="120" w:after="120"/>
        <w:rPr>
          <w:rFonts w:ascii="Lato" w:hAnsi="Lato" w:cstheme="minorHAnsi"/>
        </w:rPr>
      </w:pPr>
      <w:r w:rsidRPr="00266C2A">
        <w:rPr>
          <w:rFonts w:ascii="Lato" w:hAnsi="Lato" w:cstheme="minorHAnsi"/>
        </w:rPr>
        <w:t>Odpięcie atrybutu „opis” od atrybutu „</w:t>
      </w:r>
      <w:proofErr w:type="spellStart"/>
      <w:r w:rsidRPr="00266C2A">
        <w:rPr>
          <w:rFonts w:ascii="Lato" w:hAnsi="Lato" w:cstheme="minorHAnsi"/>
        </w:rPr>
        <w:t>rodzajSystemuStandardowejWymiany</w:t>
      </w:r>
      <w:proofErr w:type="spellEnd"/>
      <w:r w:rsidRPr="00266C2A">
        <w:rPr>
          <w:rFonts w:ascii="Lato" w:hAnsi="Lato" w:cstheme="minorHAnsi"/>
        </w:rPr>
        <w:t>”, atrybut „Opis” będzie przechowywał dowolny tekst wprowadzony przez użytkownika.</w:t>
      </w:r>
    </w:p>
    <w:p w14:paraId="28C35EE6" w14:textId="312E3B0A"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Dodanie w </w:t>
      </w:r>
      <w:proofErr w:type="spellStart"/>
      <w:r w:rsidRPr="00266C2A">
        <w:rPr>
          <w:rFonts w:ascii="Lato" w:hAnsi="Lato" w:cstheme="minorHAnsi"/>
        </w:rPr>
        <w:t>wężle</w:t>
      </w:r>
      <w:proofErr w:type="spellEnd"/>
      <w:r w:rsidRPr="00266C2A">
        <w:rPr>
          <w:rFonts w:ascii="Lato" w:hAnsi="Lato" w:cstheme="minorHAnsi"/>
        </w:rPr>
        <w:t xml:space="preserve"> </w:t>
      </w:r>
      <w:proofErr w:type="spellStart"/>
      <w:r w:rsidRPr="00266C2A">
        <w:rPr>
          <w:rFonts w:ascii="Lato" w:hAnsi="Lato" w:cstheme="minorHAnsi"/>
        </w:rPr>
        <w:t>UprzedniPrzywozProdZamiennych</w:t>
      </w:r>
      <w:proofErr w:type="spellEnd"/>
      <w:r w:rsidRPr="00266C2A">
        <w:rPr>
          <w:rFonts w:ascii="Lato" w:hAnsi="Lato" w:cstheme="minorHAnsi"/>
        </w:rPr>
        <w:t xml:space="preserve"> reguły wymagalności atrybutu „termin”, jeżeli atrybut „</w:t>
      </w:r>
      <w:proofErr w:type="spellStart"/>
      <w:r w:rsidRPr="00266C2A">
        <w:rPr>
          <w:rFonts w:ascii="Lato" w:hAnsi="Lato" w:cstheme="minorHAnsi"/>
        </w:rPr>
        <w:t>czyUprzedniPrzywoz</w:t>
      </w:r>
      <w:proofErr w:type="spellEnd"/>
      <w:r w:rsidRPr="00266C2A">
        <w:rPr>
          <w:rFonts w:ascii="Lato" w:hAnsi="Lato" w:cstheme="minorHAnsi"/>
        </w:rPr>
        <w:t xml:space="preserve">” = „tak” </w:t>
      </w:r>
    </w:p>
    <w:p w14:paraId="5D741986" w14:textId="643BC468" w:rsidR="00F42167" w:rsidRPr="00266C2A" w:rsidRDefault="00F42167" w:rsidP="00955463">
      <w:pPr>
        <w:widowControl w:val="0"/>
        <w:spacing w:before="120" w:after="120"/>
        <w:rPr>
          <w:rFonts w:ascii="Lato" w:hAnsi="Lato" w:cstheme="minorHAnsi"/>
        </w:rPr>
      </w:pPr>
      <w:r w:rsidRPr="00266C2A">
        <w:rPr>
          <w:rFonts w:ascii="Lato" w:hAnsi="Lato" w:cstheme="minorHAnsi"/>
        </w:rPr>
        <w:t>Węzeł „</w:t>
      </w:r>
      <w:proofErr w:type="spellStart"/>
      <w:r w:rsidRPr="00266C2A">
        <w:rPr>
          <w:rFonts w:ascii="Lato" w:hAnsi="Lato" w:cstheme="minorHAnsi"/>
          <w:b/>
          <w:bCs/>
        </w:rPr>
        <w:t>UprzedniPrzywozProdPrzetworzonych</w:t>
      </w:r>
      <w:proofErr w:type="spellEnd"/>
      <w:r w:rsidRPr="00266C2A">
        <w:rPr>
          <w:rFonts w:ascii="Lato" w:hAnsi="Lato" w:cstheme="minorHAnsi"/>
        </w:rPr>
        <w:t>” dodanie reguły wymagalności atrybutu „termin”, jeżeli atrybut „</w:t>
      </w:r>
      <w:proofErr w:type="spellStart"/>
      <w:r w:rsidRPr="00266C2A">
        <w:rPr>
          <w:rFonts w:ascii="Lato" w:hAnsi="Lato" w:cstheme="minorHAnsi"/>
        </w:rPr>
        <w:t>czyUprzedniPrzywoz</w:t>
      </w:r>
      <w:proofErr w:type="spellEnd"/>
      <w:r w:rsidRPr="00266C2A">
        <w:rPr>
          <w:rFonts w:ascii="Lato" w:hAnsi="Lato" w:cstheme="minorHAnsi"/>
        </w:rPr>
        <w:t xml:space="preserve">” = „tak” </w:t>
      </w:r>
    </w:p>
    <w:p w14:paraId="17135679" w14:textId="10F01F90"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Węzeł </w:t>
      </w:r>
      <w:proofErr w:type="spellStart"/>
      <w:r w:rsidRPr="00266C2A">
        <w:rPr>
          <w:rFonts w:ascii="Lato" w:hAnsi="Lato" w:cstheme="minorHAnsi"/>
          <w:b/>
          <w:bCs/>
        </w:rPr>
        <w:t>WarunkiEkonomiczne</w:t>
      </w:r>
      <w:proofErr w:type="spellEnd"/>
      <w:r w:rsidRPr="00266C2A">
        <w:rPr>
          <w:rFonts w:ascii="Lato" w:hAnsi="Lato" w:cstheme="minorHAnsi"/>
        </w:rPr>
        <w:t xml:space="preserve"> dodanie obligatoryjności do atrybutu „Opis”. Dodatkowo w schemacie odpięcie atrybutu "Opis" od "Kodu". Opis nie będzie przechowywał nazwy dla kodu, będzie zawierał dowolny opis wprowadzony przez użytkownika. Pole kod pozostaje ukryte na formularzu i pozwoleniu i wydrukach (bez usuwania ze schematu) i nie jest obligatoryjne. </w:t>
      </w:r>
    </w:p>
    <w:p w14:paraId="1AD17603" w14:textId="77777777"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Węzeł </w:t>
      </w:r>
      <w:proofErr w:type="spellStart"/>
      <w:r w:rsidRPr="00266C2A">
        <w:rPr>
          <w:rFonts w:ascii="Lato" w:hAnsi="Lato" w:cstheme="minorHAnsi"/>
          <w:b/>
          <w:bCs/>
        </w:rPr>
        <w:t>ProduktPrzetworzony</w:t>
      </w:r>
      <w:proofErr w:type="spellEnd"/>
      <w:r w:rsidRPr="00266C2A">
        <w:rPr>
          <w:rFonts w:ascii="Lato" w:hAnsi="Lato" w:cstheme="minorHAnsi"/>
        </w:rPr>
        <w:t>:</w:t>
      </w:r>
    </w:p>
    <w:p w14:paraId="70A90EC1" w14:textId="77777777" w:rsidR="00F42167" w:rsidRPr="00266C2A" w:rsidRDefault="00F42167" w:rsidP="00955463">
      <w:pPr>
        <w:widowControl w:val="0"/>
        <w:spacing w:before="120" w:after="120"/>
        <w:rPr>
          <w:rFonts w:ascii="Lato" w:hAnsi="Lato" w:cstheme="minorHAnsi"/>
        </w:rPr>
      </w:pPr>
      <w:r w:rsidRPr="00266C2A">
        <w:rPr>
          <w:rFonts w:ascii="Lato" w:hAnsi="Lato" w:cstheme="minorHAnsi"/>
        </w:rPr>
        <w:t>Atrybut „</w:t>
      </w:r>
      <w:proofErr w:type="spellStart"/>
      <w:r w:rsidRPr="00266C2A">
        <w:rPr>
          <w:rFonts w:ascii="Lato" w:hAnsi="Lato" w:cstheme="minorHAnsi"/>
        </w:rPr>
        <w:t>kodCnTowaru</w:t>
      </w:r>
      <w:proofErr w:type="spellEnd"/>
      <w:r w:rsidRPr="00266C2A">
        <w:rPr>
          <w:rFonts w:ascii="Lato" w:hAnsi="Lato" w:cstheme="minorHAnsi"/>
        </w:rPr>
        <w:t xml:space="preserve">” zmiana z </w:t>
      </w:r>
      <w:proofErr w:type="spellStart"/>
      <w:r w:rsidRPr="00266C2A">
        <w:rPr>
          <w:rFonts w:ascii="Lato" w:hAnsi="Lato" w:cstheme="minorHAnsi"/>
        </w:rPr>
        <w:t>maxLen</w:t>
      </w:r>
      <w:proofErr w:type="spellEnd"/>
      <w:r w:rsidRPr="00266C2A">
        <w:rPr>
          <w:rFonts w:ascii="Lato" w:hAnsi="Lato" w:cstheme="minorHAnsi"/>
        </w:rPr>
        <w:t xml:space="preserve">=8 na </w:t>
      </w:r>
      <w:proofErr w:type="spellStart"/>
      <w:r w:rsidRPr="00266C2A">
        <w:rPr>
          <w:rFonts w:ascii="Lato" w:hAnsi="Lato" w:cstheme="minorHAnsi"/>
          <w:b/>
          <w:bCs/>
        </w:rPr>
        <w:t>minLen</w:t>
      </w:r>
      <w:proofErr w:type="spellEnd"/>
      <w:r w:rsidRPr="00266C2A">
        <w:rPr>
          <w:rFonts w:ascii="Lato" w:hAnsi="Lato" w:cstheme="minorHAnsi"/>
          <w:b/>
          <w:bCs/>
        </w:rPr>
        <w:t xml:space="preserve"> =4; </w:t>
      </w:r>
      <w:proofErr w:type="spellStart"/>
      <w:r w:rsidRPr="00266C2A">
        <w:rPr>
          <w:rFonts w:ascii="Lato" w:hAnsi="Lato" w:cstheme="minorHAnsi"/>
          <w:b/>
          <w:bCs/>
        </w:rPr>
        <w:t>maxLen</w:t>
      </w:r>
      <w:proofErr w:type="spellEnd"/>
      <w:r w:rsidRPr="00266C2A">
        <w:rPr>
          <w:rFonts w:ascii="Lato" w:hAnsi="Lato" w:cstheme="minorHAnsi"/>
          <w:b/>
          <w:bCs/>
        </w:rPr>
        <w:t>=</w:t>
      </w:r>
      <w:r w:rsidRPr="00266C2A">
        <w:rPr>
          <w:rFonts w:ascii="Lato" w:hAnsi="Lato" w:cstheme="minorHAnsi"/>
        </w:rPr>
        <w:t xml:space="preserve">8  </w:t>
      </w:r>
    </w:p>
    <w:p w14:paraId="20A7EEC3" w14:textId="3AA77DCE"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Pole „Kod towaru” – wprowadzenie sprawdzenia czy ciąg cyfr wpisywany przez podmiot w tym polu jest zgodny ze słownikiem 028 (na przykład: jeśli w słowniku jest ciąg 10 znaków, a podmiot chce wpisać 8 cyfr, to system uznaje, że 8 znaków jest zgodnych i nie oczekuje dalszego ciągu i nie blokuje działania podmiotu). </w:t>
      </w:r>
    </w:p>
    <w:p w14:paraId="657F7100" w14:textId="1E559743" w:rsidR="00F42167" w:rsidRPr="00266C2A" w:rsidRDefault="00F42167" w:rsidP="00955463">
      <w:pPr>
        <w:widowControl w:val="0"/>
        <w:spacing w:before="120" w:after="120"/>
        <w:rPr>
          <w:rFonts w:ascii="Lato" w:hAnsi="Lato" w:cstheme="minorHAnsi"/>
        </w:rPr>
      </w:pPr>
      <w:r w:rsidRPr="00266C2A">
        <w:rPr>
          <w:rFonts w:ascii="Lato" w:hAnsi="Lato" w:cstheme="minorHAnsi"/>
        </w:rPr>
        <w:t xml:space="preserve">Węzeł </w:t>
      </w:r>
      <w:proofErr w:type="spellStart"/>
      <w:r w:rsidRPr="00266C2A">
        <w:rPr>
          <w:rFonts w:ascii="Lato" w:hAnsi="Lato" w:cstheme="minorHAnsi"/>
          <w:b/>
          <w:bCs/>
        </w:rPr>
        <w:t>ZgodaNaPublikacje</w:t>
      </w:r>
      <w:proofErr w:type="spellEnd"/>
      <w:r w:rsidRPr="00266C2A">
        <w:rPr>
          <w:rFonts w:ascii="Lato" w:hAnsi="Lato" w:cstheme="minorHAnsi"/>
        </w:rPr>
        <w:t xml:space="preserve"> Dodanie reguły wymagającej wystąpienia węzła dla typu wniosku = 1 (nowy wniosek), dla pozostałych typów węzeł nie może wystąpić </w:t>
      </w:r>
    </w:p>
    <w:p w14:paraId="6384F618" w14:textId="77777777" w:rsidR="00EF0489" w:rsidRPr="00266C2A" w:rsidRDefault="00EF0489" w:rsidP="00EF0489">
      <w:pPr>
        <w:widowControl w:val="0"/>
        <w:spacing w:before="120" w:after="120" w:line="240" w:lineRule="auto"/>
        <w:rPr>
          <w:rFonts w:ascii="Lato" w:hAnsi="Lato" w:cstheme="minorHAnsi"/>
          <w:sz w:val="24"/>
          <w:szCs w:val="24"/>
        </w:rPr>
      </w:pPr>
      <w:r w:rsidRPr="00266C2A">
        <w:rPr>
          <w:rFonts w:ascii="Lato" w:hAnsi="Lato" w:cstheme="minorHAnsi"/>
          <w:b/>
          <w:bCs/>
          <w:sz w:val="24"/>
          <w:szCs w:val="24"/>
          <w:u w:val="single"/>
        </w:rPr>
        <w:t>Zmiany w komponencie komunikacyjnym SZPROT PLUS</w:t>
      </w:r>
      <w:r w:rsidRPr="00266C2A">
        <w:rPr>
          <w:rFonts w:ascii="Lato" w:hAnsi="Lato" w:cstheme="minorHAnsi"/>
          <w:sz w:val="24"/>
          <w:szCs w:val="24"/>
        </w:rPr>
        <w:t xml:space="preserve">: </w:t>
      </w:r>
    </w:p>
    <w:p w14:paraId="7EE1E9E1" w14:textId="3B04BA25" w:rsidR="00EF0489" w:rsidRPr="00266C2A" w:rsidRDefault="00EF0489" w:rsidP="00EF0489">
      <w:pPr>
        <w:widowControl w:val="0"/>
        <w:spacing w:before="120" w:after="120" w:line="240" w:lineRule="auto"/>
        <w:rPr>
          <w:rFonts w:ascii="Lato" w:hAnsi="Lato" w:cstheme="minorHAnsi"/>
          <w:sz w:val="24"/>
          <w:szCs w:val="24"/>
        </w:rPr>
      </w:pPr>
      <w:r w:rsidRPr="00266C2A">
        <w:rPr>
          <w:rFonts w:ascii="Lato" w:hAnsi="Lato" w:cstheme="minorHAnsi"/>
          <w:sz w:val="24"/>
          <w:szCs w:val="24"/>
        </w:rPr>
        <w:t>Modyfikacja formularza OPO na PUESC zgodnie z powyższym opisem, w tym dodanie nowych słowników.</w:t>
      </w:r>
    </w:p>
    <w:p w14:paraId="3BD663E9" w14:textId="21127F50" w:rsidR="00EF0489" w:rsidRPr="00266C2A" w:rsidRDefault="00EF0489" w:rsidP="00EF0489">
      <w:pPr>
        <w:keepNext/>
        <w:widowControl w:val="0"/>
        <w:spacing w:before="120" w:after="120" w:line="240" w:lineRule="auto"/>
        <w:rPr>
          <w:rFonts w:ascii="Lato" w:hAnsi="Lato" w:cstheme="minorHAnsi"/>
          <w:sz w:val="24"/>
          <w:szCs w:val="24"/>
        </w:rPr>
      </w:pPr>
      <w:r w:rsidRPr="00266C2A">
        <w:rPr>
          <w:rFonts w:ascii="Lato" w:hAnsi="Lato" w:cstheme="minorHAnsi"/>
          <w:b/>
          <w:bCs/>
          <w:sz w:val="24"/>
          <w:szCs w:val="24"/>
        </w:rPr>
        <w:t xml:space="preserve">Zmiany w SZPROT PLUS: </w:t>
      </w:r>
      <w:r w:rsidRPr="00266C2A">
        <w:rPr>
          <w:rFonts w:ascii="Lato" w:hAnsi="Lato" w:cstheme="minorHAnsi"/>
          <w:sz w:val="24"/>
          <w:szCs w:val="24"/>
        </w:rPr>
        <w:t>Zmiana formularza decyzji OPO (w tym dodanie nowych słowników) oraz implementacja nowych reguł oraz zmiana szablonów wydruków dla pozwoleń OPO.</w:t>
      </w:r>
    </w:p>
    <w:p w14:paraId="38927B0E" w14:textId="596671DE" w:rsidR="008C7DAD" w:rsidRPr="00266C2A" w:rsidRDefault="008C7DAD" w:rsidP="004B450E">
      <w:pPr>
        <w:spacing w:before="120" w:after="120" w:line="240" w:lineRule="auto"/>
        <w:rPr>
          <w:rFonts w:ascii="Lato" w:hAnsi="Lato" w:cstheme="minorHAnsi"/>
          <w:sz w:val="24"/>
          <w:szCs w:val="24"/>
        </w:rPr>
      </w:pPr>
      <w:r w:rsidRPr="00266C2A">
        <w:rPr>
          <w:rFonts w:ascii="Lato" w:hAnsi="Lato" w:cstheme="minorHAnsi"/>
          <w:sz w:val="24"/>
          <w:szCs w:val="24"/>
        </w:rPr>
        <w:br w:type="page"/>
      </w:r>
    </w:p>
    <w:p w14:paraId="4A2B42A4" w14:textId="5381DCE8" w:rsidR="008C7DAD" w:rsidRPr="00266C2A" w:rsidRDefault="008C7DAD" w:rsidP="004B450E">
      <w:pPr>
        <w:spacing w:before="120" w:after="120" w:line="240" w:lineRule="auto"/>
        <w:rPr>
          <w:rFonts w:ascii="Lato" w:hAnsi="Lato" w:cstheme="minorHAnsi"/>
          <w:b/>
          <w:bCs/>
          <w:color w:val="FF0000"/>
          <w:sz w:val="28"/>
          <w:szCs w:val="28"/>
        </w:rPr>
      </w:pPr>
      <w:r w:rsidRPr="00266C2A">
        <w:rPr>
          <w:rFonts w:ascii="Lato" w:hAnsi="Lato" w:cstheme="minorHAnsi"/>
          <w:b/>
          <w:bCs/>
          <w:color w:val="FF0000"/>
          <w:sz w:val="28"/>
          <w:szCs w:val="28"/>
        </w:rPr>
        <w:lastRenderedPageBreak/>
        <w:t>Lokalizacja</w:t>
      </w:r>
      <w:r w:rsidR="004546F5" w:rsidRPr="00266C2A">
        <w:rPr>
          <w:rFonts w:ascii="Lato" w:hAnsi="Lato" w:cstheme="minorHAnsi"/>
          <w:b/>
          <w:bCs/>
          <w:color w:val="FF0000"/>
          <w:sz w:val="28"/>
          <w:szCs w:val="28"/>
        </w:rPr>
        <w:t>/TST/CW</w:t>
      </w:r>
    </w:p>
    <w:p w14:paraId="21EBD557" w14:textId="77777777" w:rsidR="008C7DAD" w:rsidRPr="00266C2A" w:rsidRDefault="008C7DAD" w:rsidP="00955463">
      <w:pPr>
        <w:pStyle w:val="Akapitzlist"/>
        <w:widowControl w:val="0"/>
        <w:numPr>
          <w:ilvl w:val="1"/>
          <w:numId w:val="13"/>
        </w:numPr>
        <w:tabs>
          <w:tab w:val="left" w:pos="567"/>
        </w:tabs>
        <w:spacing w:before="120" w:after="120"/>
        <w:ind w:left="567" w:hanging="567"/>
        <w:rPr>
          <w:rFonts w:ascii="Lato" w:hAnsi="Lato" w:cstheme="minorHAnsi"/>
          <w:lang w:eastAsia="pl-PL"/>
        </w:rPr>
      </w:pPr>
      <w:r w:rsidRPr="00266C2A">
        <w:rPr>
          <w:rFonts w:ascii="Lato" w:hAnsi="Lato" w:cstheme="minorHAnsi"/>
          <w:lang w:eastAsia="pl-PL"/>
        </w:rPr>
        <w:t>Z opisów pól i sekcji formularzy usunięte zostaną wszystkie indeksy, wskazujące na tytuły w Załączniku A.</w:t>
      </w:r>
    </w:p>
    <w:p w14:paraId="6ED75DD1" w14:textId="77777777" w:rsidR="008C7DAD" w:rsidRPr="00266C2A" w:rsidRDefault="008C7DAD" w:rsidP="00955463">
      <w:pPr>
        <w:pStyle w:val="Akapitzlist"/>
        <w:widowControl w:val="0"/>
        <w:numPr>
          <w:ilvl w:val="1"/>
          <w:numId w:val="13"/>
        </w:numPr>
        <w:tabs>
          <w:tab w:val="left" w:pos="567"/>
        </w:tabs>
        <w:spacing w:before="120" w:after="120"/>
        <w:ind w:left="567" w:hanging="567"/>
        <w:rPr>
          <w:rFonts w:ascii="Lato" w:hAnsi="Lato" w:cstheme="minorHAnsi"/>
          <w:lang w:eastAsia="pl-PL"/>
        </w:rPr>
      </w:pPr>
      <w:r w:rsidRPr="00266C2A">
        <w:rPr>
          <w:rFonts w:ascii="Lato" w:hAnsi="Lato" w:cstheme="minorHAnsi"/>
          <w:lang w:eastAsia="pl-PL"/>
        </w:rPr>
        <w:t>Wszystkie sekcje adresowe w w/w wnioskach zostaną zmodyfikowane i docelowo będą zawierały pola:</w:t>
      </w:r>
    </w:p>
    <w:p w14:paraId="573704F3"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Kraj (wymagane)</w:t>
      </w:r>
    </w:p>
    <w:p w14:paraId="74C5B903"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Województwo, Powiat, Gmina – wyświetlane i wymagane,  jeżeli „Kraj” = „Polska” (PL)</w:t>
      </w:r>
    </w:p>
    <w:p w14:paraId="6057A704"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Miejscowość (wymagane)</w:t>
      </w:r>
    </w:p>
    <w:p w14:paraId="1DAF3945"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Kod pocztowy (wymagane)</w:t>
      </w:r>
    </w:p>
    <w:p w14:paraId="6634C65C"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Ulica (opcjonalnie)</w:t>
      </w:r>
    </w:p>
    <w:p w14:paraId="11AA9D67"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Nr domu (opcjonalnie)</w:t>
      </w:r>
    </w:p>
    <w:p w14:paraId="5965340F"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Nr lokalu (opcjonalne)</w:t>
      </w:r>
    </w:p>
    <w:p w14:paraId="1A8B13C5" w14:textId="77777777" w:rsidR="008C7DAD" w:rsidRPr="00266C2A" w:rsidRDefault="008C7DAD" w:rsidP="004B450E">
      <w:pPr>
        <w:widowControl w:val="0"/>
        <w:tabs>
          <w:tab w:val="left" w:pos="709"/>
        </w:tabs>
        <w:spacing w:before="120" w:after="120" w:line="240" w:lineRule="auto"/>
        <w:ind w:left="709"/>
        <w:rPr>
          <w:rFonts w:ascii="Lato" w:hAnsi="Lato" w:cstheme="minorHAnsi"/>
          <w:sz w:val="24"/>
          <w:szCs w:val="24"/>
          <w:lang w:eastAsia="pl-PL"/>
        </w:rPr>
      </w:pPr>
      <w:r w:rsidRPr="00266C2A">
        <w:rPr>
          <w:rFonts w:ascii="Lato" w:hAnsi="Lato" w:cstheme="minorHAnsi"/>
          <w:sz w:val="24"/>
          <w:szCs w:val="24"/>
          <w:lang w:eastAsia="pl-PL"/>
        </w:rPr>
        <w:t>Pozostałe pola występujące obecnie w tych sekcjach zostaną usunięte.</w:t>
      </w:r>
    </w:p>
    <w:p w14:paraId="70AF252C" w14:textId="77777777" w:rsidR="008C7DAD" w:rsidRPr="00266C2A" w:rsidRDefault="008C7DAD" w:rsidP="00955463">
      <w:pPr>
        <w:pStyle w:val="Akapitzlist"/>
        <w:widowControl w:val="0"/>
        <w:numPr>
          <w:ilvl w:val="1"/>
          <w:numId w:val="13"/>
        </w:numPr>
        <w:tabs>
          <w:tab w:val="left" w:pos="709"/>
        </w:tabs>
        <w:spacing w:before="120" w:after="120"/>
        <w:ind w:left="567" w:hanging="567"/>
        <w:rPr>
          <w:rFonts w:ascii="Lato" w:hAnsi="Lato" w:cstheme="minorHAnsi"/>
          <w:lang w:eastAsia="pl-PL"/>
        </w:rPr>
      </w:pPr>
      <w:r w:rsidRPr="00266C2A">
        <w:rPr>
          <w:rFonts w:ascii="Lato" w:hAnsi="Lato" w:cstheme="minorHAnsi"/>
          <w:lang w:eastAsia="pl-PL"/>
        </w:rPr>
        <w:t>Zmiany w sekcji „DANE OGÓLNE WNIOSKU” (element /Wniosek):</w:t>
      </w:r>
    </w:p>
    <w:p w14:paraId="0A31FAE1"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W polu „Organ do którego składany jest wniosek” – patrz D.1/7- zostanie zmieniony słownik, wartości będą pobierane ze słownika 001G, analogicznie, jak we wniosku TEA.W tym polu należy od razu wyświetlać pełną listę wszystkich organów do wyboru (16 pozycji); może nadal pozostać kontrolka z wyszukiwaniem.</w:t>
      </w:r>
    </w:p>
    <w:p w14:paraId="3A7240D0"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Pole „Geograficzny obszar ważności” – patrz D.1/4 - będzie zawierało stały opis: „</w:t>
      </w:r>
      <w:r w:rsidRPr="00266C2A">
        <w:rPr>
          <w:rFonts w:ascii="Lato" w:hAnsi="Lato" w:cstheme="minorHAnsi"/>
          <w:i/>
          <w:iCs/>
          <w:lang w:eastAsia="pl-PL"/>
        </w:rPr>
        <w:t>3 – wniosek lub pozwolenie ograniczone do jednego państwa członkowskiego</w:t>
      </w:r>
      <w:r w:rsidRPr="00266C2A">
        <w:rPr>
          <w:rFonts w:ascii="Lato" w:hAnsi="Lato" w:cstheme="minorHAnsi"/>
          <w:lang w:eastAsia="pl-PL"/>
        </w:rPr>
        <w:t>”, pole pozostanie niedostępne do edycji.</w:t>
      </w:r>
    </w:p>
    <w:p w14:paraId="4C2D3272"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Zgodnie z wymaganiem w pozycji 43 arkusza uwag, w tej sekcji zostanie dodany kod rodzaju wniosku zgodny z Załącznikiem A D.1/1 tj. „TST”, „CWP”, „CW1”, „CW2”.  Będzie on stały dla danego rodzaju wniosku i wypełniany automatycznie. Proponowana nazwa pola na formularzu: „Kod rodzaju wniosku” (zgodnie z Zał. A).</w:t>
      </w:r>
    </w:p>
    <w:p w14:paraId="60DF6F68" w14:textId="77777777" w:rsidR="008C7DAD" w:rsidRPr="00266C2A" w:rsidRDefault="008C7DAD" w:rsidP="00955463">
      <w:pPr>
        <w:pStyle w:val="Akapitzlist"/>
        <w:widowControl w:val="0"/>
        <w:numPr>
          <w:ilvl w:val="1"/>
          <w:numId w:val="13"/>
        </w:numPr>
        <w:tabs>
          <w:tab w:val="left" w:pos="567"/>
        </w:tabs>
        <w:spacing w:before="120" w:after="120"/>
        <w:ind w:left="567" w:hanging="567"/>
        <w:rPr>
          <w:rFonts w:ascii="Lato" w:hAnsi="Lato" w:cstheme="minorHAnsi"/>
          <w:lang w:eastAsia="pl-PL"/>
        </w:rPr>
      </w:pPr>
      <w:r w:rsidRPr="00266C2A">
        <w:rPr>
          <w:rFonts w:ascii="Lato" w:hAnsi="Lato" w:cstheme="minorHAnsi"/>
          <w:lang w:eastAsia="pl-PL"/>
        </w:rPr>
        <w:t>Zmiany w sekcji „WNIOSKODAWCA”  (element /</w:t>
      </w:r>
      <w:proofErr w:type="spellStart"/>
      <w:r w:rsidRPr="00266C2A">
        <w:rPr>
          <w:rFonts w:ascii="Lato" w:hAnsi="Lato" w:cstheme="minorHAnsi"/>
          <w:lang w:eastAsia="pl-PL"/>
        </w:rPr>
        <w:t>WnioskodawcaPodmiot</w:t>
      </w:r>
      <w:proofErr w:type="spellEnd"/>
      <w:r w:rsidRPr="00266C2A">
        <w:rPr>
          <w:rFonts w:ascii="Lato" w:hAnsi="Lato" w:cstheme="minorHAnsi"/>
          <w:lang w:eastAsia="pl-PL"/>
        </w:rPr>
        <w:t>):</w:t>
      </w:r>
    </w:p>
    <w:p w14:paraId="76C1CB4F"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 xml:space="preserve">Sekcja będzie automatycznie uzupełniana danymi z kontekstu użytkownika, jeżeli pracuje on w kontekście firmy. Dane zaczytane z kontekstu oraz słownika 4003V1 PDR będą zablokowane do edycji. Pole EORI nie będzie dostępne do edycji oraz przycisk [Zatwierdź] nie będzie widoczny. </w:t>
      </w:r>
    </w:p>
    <w:p w14:paraId="03A19070" w14:textId="1ADEA8E5"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 xml:space="preserve">Jeżeli użytkownik pracuje w kontekście własnym, to działanie sekcji pozostanie bez zmian (wymagane jest podanie numeru EORI-po podaniu EORI i wybraniu przycisku [Zatwierdź] pozostałe pola w sekcji są wypełnianie danymi ze słownika 4003V1 PDR). Pozostałe pola w tej sekcji (poza EORI) zostaną zablokowane do edycji </w:t>
      </w:r>
      <w:r w:rsidR="004546F5" w:rsidRPr="00266C2A">
        <w:rPr>
          <w:rFonts w:ascii="Lato" w:hAnsi="Lato" w:cstheme="minorHAnsi"/>
          <w:lang w:eastAsia="pl-PL"/>
        </w:rPr>
        <w:t>–</w:t>
      </w:r>
      <w:r w:rsidRPr="00266C2A">
        <w:rPr>
          <w:rFonts w:ascii="Lato" w:hAnsi="Lato" w:cstheme="minorHAnsi"/>
          <w:lang w:eastAsia="pl-PL"/>
        </w:rPr>
        <w:t xml:space="preserve"> </w:t>
      </w:r>
      <w:r w:rsidR="004546F5" w:rsidRPr="00266C2A">
        <w:rPr>
          <w:rFonts w:ascii="Lato" w:hAnsi="Lato" w:cstheme="minorHAnsi"/>
          <w:lang w:eastAsia="pl-PL"/>
        </w:rPr>
        <w:t xml:space="preserve">Do przesądzenia czy </w:t>
      </w:r>
      <w:r w:rsidRPr="00266C2A">
        <w:rPr>
          <w:rFonts w:ascii="Lato" w:hAnsi="Lato" w:cstheme="minorHAnsi"/>
          <w:lang w:eastAsia="pl-PL"/>
        </w:rPr>
        <w:t>System będzie wymagał, aby podmiot – wnioskodawca był zarejestrowany w SISC</w:t>
      </w:r>
      <w:r w:rsidR="004546F5" w:rsidRPr="00266C2A">
        <w:rPr>
          <w:rFonts w:ascii="Lato" w:hAnsi="Lato" w:cstheme="minorHAnsi"/>
          <w:lang w:eastAsia="pl-PL"/>
        </w:rPr>
        <w:t xml:space="preserve"> czy będzie pobierać dane z EOS</w:t>
      </w:r>
      <w:r w:rsidRPr="00266C2A">
        <w:rPr>
          <w:rFonts w:ascii="Lato" w:hAnsi="Lato" w:cstheme="minorHAnsi"/>
          <w:lang w:eastAsia="pl-PL"/>
        </w:rPr>
        <w:t>).</w:t>
      </w:r>
    </w:p>
    <w:p w14:paraId="682EBA2E"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lastRenderedPageBreak/>
        <w:t>Podsekcja „Adres” będzie automatycznie uzupełniania danymi adresu siedziby podmiotu, adres będzie zablokowany do edycji oraz zostanie zmodyfikowana zgodnie z opisem w punkcie 1.2, należy usunąć przycisk [Usuń].</w:t>
      </w:r>
    </w:p>
    <w:p w14:paraId="72A09617" w14:textId="77777777" w:rsidR="008C7DAD" w:rsidRPr="00266C2A" w:rsidRDefault="008C7DAD" w:rsidP="00955463">
      <w:pPr>
        <w:pStyle w:val="Akapitzlist"/>
        <w:widowControl w:val="0"/>
        <w:numPr>
          <w:ilvl w:val="1"/>
          <w:numId w:val="13"/>
        </w:numPr>
        <w:tabs>
          <w:tab w:val="left" w:pos="567"/>
        </w:tabs>
        <w:spacing w:before="120" w:after="120"/>
        <w:ind w:left="567" w:hanging="567"/>
        <w:rPr>
          <w:rFonts w:ascii="Lato" w:hAnsi="Lato" w:cstheme="minorHAnsi"/>
          <w:lang w:eastAsia="pl-PL"/>
        </w:rPr>
      </w:pPr>
      <w:r w:rsidRPr="00266C2A">
        <w:rPr>
          <w:rFonts w:ascii="Lato" w:hAnsi="Lato" w:cstheme="minorHAnsi"/>
          <w:lang w:eastAsia="pl-PL"/>
        </w:rPr>
        <w:t xml:space="preserve">Zmiany w sekcji „DANE WNIOSKU” (elementy /Wniosek oraz </w:t>
      </w:r>
      <w:proofErr w:type="spellStart"/>
      <w:r w:rsidRPr="00266C2A">
        <w:rPr>
          <w:rFonts w:ascii="Lato" w:hAnsi="Lato" w:cstheme="minorHAnsi"/>
          <w:lang w:eastAsia="pl-PL"/>
        </w:rPr>
        <w:t>DataRozpoczeciaWaznosciPozwolenia</w:t>
      </w:r>
      <w:proofErr w:type="spellEnd"/>
      <w:r w:rsidRPr="00266C2A">
        <w:rPr>
          <w:rFonts w:ascii="Lato" w:hAnsi="Lato" w:cstheme="minorHAnsi"/>
          <w:lang w:eastAsia="pl-PL"/>
        </w:rPr>
        <w:t>):</w:t>
      </w:r>
    </w:p>
    <w:p w14:paraId="15AAD7C2"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 xml:space="preserve">Nazwy, wyświetlane w polu „Typ wniosku” zostaną uzupełnione o kody, </w:t>
      </w:r>
      <w:proofErr w:type="spellStart"/>
      <w:r w:rsidRPr="00266C2A">
        <w:rPr>
          <w:rFonts w:ascii="Lato" w:hAnsi="Lato" w:cstheme="minorHAnsi"/>
          <w:lang w:eastAsia="pl-PL"/>
        </w:rPr>
        <w:t>tj</w:t>
      </w:r>
      <w:proofErr w:type="spellEnd"/>
      <w:r w:rsidRPr="00266C2A">
        <w:rPr>
          <w:rFonts w:ascii="Lato" w:hAnsi="Lato" w:cstheme="minorHAnsi"/>
          <w:lang w:eastAsia="pl-PL"/>
        </w:rPr>
        <w:t>:</w:t>
      </w:r>
    </w:p>
    <w:p w14:paraId="5623FA6D"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1 - Pierwszy wniosek</w:t>
      </w:r>
    </w:p>
    <w:p w14:paraId="3D4B1658"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2 - Wniosek w sprawie zmiany decyzji</w:t>
      </w:r>
    </w:p>
    <w:p w14:paraId="04A4F348"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4 - Wniosek w sprawie cofnięcia decyzji</w:t>
      </w:r>
    </w:p>
    <w:p w14:paraId="4715C54E" w14:textId="77777777" w:rsidR="008C7DAD" w:rsidRPr="00266C2A" w:rsidRDefault="008C7DAD" w:rsidP="004B450E">
      <w:pPr>
        <w:widowControl w:val="0"/>
        <w:tabs>
          <w:tab w:val="left" w:pos="709"/>
        </w:tabs>
        <w:spacing w:before="120" w:after="120" w:line="240" w:lineRule="auto"/>
        <w:ind w:left="720"/>
        <w:rPr>
          <w:rFonts w:ascii="Lato" w:hAnsi="Lato" w:cstheme="minorHAnsi"/>
          <w:sz w:val="24"/>
          <w:szCs w:val="24"/>
          <w:lang w:eastAsia="pl-PL"/>
        </w:rPr>
      </w:pPr>
      <w:r w:rsidRPr="00266C2A">
        <w:rPr>
          <w:rFonts w:ascii="Lato" w:hAnsi="Lato" w:cstheme="minorHAnsi"/>
          <w:sz w:val="24"/>
          <w:szCs w:val="24"/>
          <w:lang w:eastAsia="pl-PL"/>
        </w:rPr>
        <w:t>(dla tej grupy wniosków brak opcji przedłużenia pozwolenia)</w:t>
      </w:r>
    </w:p>
    <w:p w14:paraId="293F2B5C"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Jeżeli w polu „Rodzaj wniosku” wybrano „1” (Pierwszy wniosek) wtedy do edycji udostępniane są pola „Wnioskowana data rozpoczęcia ważności pozwolenia” oraz „Opis wnioskowanej daty rozpoczęcia ważności pozwolenia” – D.4/6 – oba pola będą opcjonalne, należy usunąć ich wymagalność we wszystkich wnioskach.</w:t>
      </w:r>
    </w:p>
    <w:p w14:paraId="776F4315"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Jeżeli wybrano opcje „2” (Wniosek w sprawie zmiany decyzji) lub „4” (Wniosek w sprawie cofnięcia pozwolenia) wtedy udostępniane jest pole „Numer pozwolenia” (D.1/6) z możliwością wyboru aktywnej pozycji ze słownika PDR 4014V1. Wyświetlana lista pozycji będzie zawierała pozwolenia, dla których „Rodzaj pozwolenia kod” ma wartość odpowiednią do wniosku, tj. „TST”, „CWP”, „CW1” lub ”CW2” oraz dla których organ celny = Organ, do którego składany jest wniosek.</w:t>
      </w:r>
    </w:p>
    <w:p w14:paraId="026D7498"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Dla typu wniosku „Zmiana” i „Cofnięcie” pola „Wnioskowana data początkowa” (D.4/6) oraz „Opis terminu rozpoczęcia” (D.4/6) nie będą wyświetlane na formularzu (pozostaną niewidoczne).</w:t>
      </w:r>
    </w:p>
    <w:p w14:paraId="7CA13102" w14:textId="77777777" w:rsidR="008C7DAD" w:rsidRPr="00266C2A" w:rsidRDefault="008C7DAD" w:rsidP="00955463">
      <w:pPr>
        <w:pStyle w:val="Akapitzlist"/>
        <w:widowControl w:val="0"/>
        <w:numPr>
          <w:ilvl w:val="1"/>
          <w:numId w:val="13"/>
        </w:numPr>
        <w:tabs>
          <w:tab w:val="left" w:pos="567"/>
        </w:tabs>
        <w:spacing w:before="120" w:after="120"/>
        <w:ind w:left="567" w:hanging="567"/>
        <w:rPr>
          <w:rFonts w:ascii="Lato" w:hAnsi="Lato" w:cstheme="minorHAnsi"/>
          <w:lang w:eastAsia="pl-PL"/>
        </w:rPr>
      </w:pPr>
      <w:r w:rsidRPr="00266C2A">
        <w:rPr>
          <w:rFonts w:ascii="Lato" w:hAnsi="Lato" w:cstheme="minorHAnsi"/>
          <w:lang w:eastAsia="pl-PL"/>
        </w:rPr>
        <w:t>Zmiany w sekcji „PRZEDSTAWICIEL” (elementy /</w:t>
      </w:r>
      <w:proofErr w:type="spellStart"/>
      <w:r w:rsidRPr="00266C2A">
        <w:rPr>
          <w:rFonts w:ascii="Lato" w:hAnsi="Lato" w:cstheme="minorHAnsi"/>
          <w:lang w:eastAsia="pl-PL"/>
        </w:rPr>
        <w:t>PrzedstawicielPodmiot</w:t>
      </w:r>
      <w:proofErr w:type="spellEnd"/>
      <w:r w:rsidRPr="00266C2A">
        <w:rPr>
          <w:rFonts w:ascii="Lato" w:hAnsi="Lato" w:cstheme="minorHAnsi"/>
          <w:lang w:eastAsia="pl-PL"/>
        </w:rPr>
        <w:t xml:space="preserve"> oraz /</w:t>
      </w:r>
      <w:proofErr w:type="spellStart"/>
      <w:r w:rsidRPr="00266C2A">
        <w:rPr>
          <w:rFonts w:ascii="Lato" w:hAnsi="Lato" w:cstheme="minorHAnsi"/>
          <w:lang w:eastAsia="pl-PL"/>
        </w:rPr>
        <w:t>PrzedstawicielOsoba</w:t>
      </w:r>
      <w:proofErr w:type="spellEnd"/>
      <w:r w:rsidRPr="00266C2A">
        <w:rPr>
          <w:rFonts w:ascii="Lato" w:hAnsi="Lato" w:cstheme="minorHAnsi"/>
          <w:lang w:eastAsia="pl-PL"/>
        </w:rPr>
        <w:t xml:space="preserve">) </w:t>
      </w:r>
    </w:p>
    <w:p w14:paraId="4EE21E59"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Przy wybraniu typu wniosku „Zmiana” lub „ Cofnięcie” sekcja będzie resetowana do wartości „Brak przedstawiciela”.</w:t>
      </w:r>
    </w:p>
    <w:p w14:paraId="53B329A7"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System będzie weryfikował poprawność podanych identyfikatorów (ID SISC, EORI) i informował o błędzie w przypadku, gdy będą błędne lub nieaktywne.</w:t>
      </w:r>
    </w:p>
    <w:p w14:paraId="1B51C609"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Podsekcja „Adres” zostanie zmodyfikowana zgodnie z opisem w punkcie 1.2.</w:t>
      </w:r>
    </w:p>
    <w:p w14:paraId="11C47F2F" w14:textId="77777777" w:rsidR="008C7DAD" w:rsidRPr="00266C2A" w:rsidRDefault="008C7DAD" w:rsidP="00955463">
      <w:pPr>
        <w:pStyle w:val="Akapitzlist"/>
        <w:widowControl w:val="0"/>
        <w:numPr>
          <w:ilvl w:val="1"/>
          <w:numId w:val="13"/>
        </w:numPr>
        <w:tabs>
          <w:tab w:val="left" w:pos="567"/>
        </w:tabs>
        <w:spacing w:before="120" w:after="120"/>
        <w:ind w:left="567" w:hanging="567"/>
        <w:rPr>
          <w:rFonts w:ascii="Lato" w:hAnsi="Lato" w:cstheme="minorHAnsi"/>
          <w:lang w:eastAsia="pl-PL"/>
        </w:rPr>
      </w:pPr>
      <w:r w:rsidRPr="00266C2A">
        <w:rPr>
          <w:rFonts w:ascii="Lato" w:hAnsi="Lato" w:cstheme="minorHAnsi"/>
          <w:lang w:eastAsia="pl-PL"/>
        </w:rPr>
        <w:t xml:space="preserve">Zmiany w sekcji „OSOBA DO KONTAKTU, ODPOWIEDZIALNA ZA WNIOSEK” (element/ </w:t>
      </w:r>
      <w:proofErr w:type="spellStart"/>
      <w:r w:rsidRPr="00266C2A">
        <w:rPr>
          <w:rFonts w:ascii="Lato" w:hAnsi="Lato" w:cstheme="minorHAnsi"/>
          <w:lang w:eastAsia="pl-PL"/>
        </w:rPr>
        <w:t>OsobaOdpowiedzialnaZaWniosek</w:t>
      </w:r>
      <w:proofErr w:type="spellEnd"/>
      <w:r w:rsidRPr="00266C2A">
        <w:rPr>
          <w:rFonts w:ascii="Lato" w:hAnsi="Lato" w:cstheme="minorHAnsi"/>
          <w:lang w:eastAsia="pl-PL"/>
        </w:rPr>
        <w:t>)</w:t>
      </w:r>
    </w:p>
    <w:p w14:paraId="3A4FD88F" w14:textId="77777777" w:rsidR="008C7DAD" w:rsidRPr="00266C2A" w:rsidRDefault="008C7DAD" w:rsidP="004B450E">
      <w:pPr>
        <w:widowControl w:val="0"/>
        <w:tabs>
          <w:tab w:val="left" w:pos="709"/>
        </w:tabs>
        <w:spacing w:before="120" w:after="120" w:line="240" w:lineRule="auto"/>
        <w:ind w:left="720"/>
        <w:rPr>
          <w:rFonts w:ascii="Lato" w:hAnsi="Lato" w:cstheme="minorHAnsi"/>
          <w:sz w:val="24"/>
          <w:szCs w:val="24"/>
          <w:lang w:eastAsia="pl-PL"/>
        </w:rPr>
      </w:pPr>
      <w:r w:rsidRPr="00266C2A">
        <w:rPr>
          <w:rFonts w:ascii="Lato" w:hAnsi="Lato" w:cstheme="minorHAnsi"/>
          <w:sz w:val="24"/>
          <w:szCs w:val="24"/>
          <w:lang w:eastAsia="pl-PL"/>
        </w:rPr>
        <w:t>Należy zmienić nazwy pól „Telefon podstawowy” i „Podstawowy adres e-mail” na „Telefon” i „Adres e-mail” oraz dodać maski i walidację podanych danych.</w:t>
      </w:r>
    </w:p>
    <w:p w14:paraId="70431AB3" w14:textId="77777777" w:rsidR="008C7DAD" w:rsidRPr="00266C2A" w:rsidRDefault="008C7DAD" w:rsidP="00955463">
      <w:pPr>
        <w:pStyle w:val="Akapitzlist"/>
        <w:widowControl w:val="0"/>
        <w:numPr>
          <w:ilvl w:val="1"/>
          <w:numId w:val="13"/>
        </w:numPr>
        <w:tabs>
          <w:tab w:val="left" w:pos="567"/>
        </w:tabs>
        <w:spacing w:before="120" w:after="120"/>
        <w:ind w:left="567" w:hanging="567"/>
        <w:rPr>
          <w:rFonts w:ascii="Lato" w:hAnsi="Lato" w:cstheme="minorHAnsi"/>
          <w:lang w:eastAsia="pl-PL"/>
        </w:rPr>
      </w:pPr>
      <w:r w:rsidRPr="00266C2A">
        <w:rPr>
          <w:rFonts w:ascii="Lato" w:hAnsi="Lato" w:cstheme="minorHAnsi"/>
          <w:lang w:eastAsia="pl-PL"/>
        </w:rPr>
        <w:t>Zmiany w sekcji „MIEJSCE, W KTÓRYM SĄ PROWADZONE LUB DOSTĘPNE GŁÓWNE KSIĘGI  RACHUNKOWE NA POTRZEBY CELNE I ICH RODZAJ”</w:t>
      </w:r>
    </w:p>
    <w:p w14:paraId="59643305"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Nazwa sekcji zostanie zmieniona na „Rodzaj głównych ksiąg rachunkowych na potrzeby celne oraz miejsce, w którym są one prowadzone lub dostępne”</w:t>
      </w:r>
    </w:p>
    <w:p w14:paraId="74063987"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lastRenderedPageBreak/>
        <w:t>Zmieniona zostanie wymagalność sekcji:</w:t>
      </w:r>
    </w:p>
    <w:p w14:paraId="2DD9F3C5"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 xml:space="preserve">Sekcja obligatoryjna, gdy Rodzaj wniosku = „1” (Pierwszy wniosek) </w:t>
      </w:r>
    </w:p>
    <w:p w14:paraId="1D698CA2"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Niedostępna (niewyświetlana na formularzu), gdy Rodzaj wniosku = „2” (Wniosek w sprawie zmiany decyzji) lub „4” (Wniosek w sprawie cofnięcia decyzji).</w:t>
      </w:r>
    </w:p>
    <w:p w14:paraId="003B6805" w14:textId="77777777" w:rsidR="00955463" w:rsidRPr="00266C2A" w:rsidRDefault="008C7DAD" w:rsidP="00955463">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Podsekcja „Adres” zostanie zmodyfikowana zgodnie z opisem w punkcie 1.2.</w:t>
      </w:r>
    </w:p>
    <w:p w14:paraId="0C6AF5F5" w14:textId="7E0E5015" w:rsidR="008C7DAD" w:rsidRPr="00266C2A" w:rsidRDefault="008C7DAD" w:rsidP="00955463">
      <w:pPr>
        <w:pStyle w:val="Akapitzlist"/>
        <w:widowControl w:val="0"/>
        <w:numPr>
          <w:ilvl w:val="1"/>
          <w:numId w:val="16"/>
        </w:numPr>
        <w:tabs>
          <w:tab w:val="left" w:pos="567"/>
          <w:tab w:val="left" w:pos="709"/>
        </w:tabs>
        <w:spacing w:before="120" w:after="120"/>
        <w:ind w:left="709" w:hanging="709"/>
        <w:rPr>
          <w:rFonts w:ascii="Lato" w:hAnsi="Lato" w:cstheme="minorHAnsi"/>
          <w:lang w:eastAsia="pl-PL"/>
        </w:rPr>
      </w:pPr>
      <w:r w:rsidRPr="00266C2A">
        <w:rPr>
          <w:rFonts w:ascii="Lato" w:hAnsi="Lato" w:cstheme="minorHAnsi"/>
          <w:lang w:eastAsia="pl-PL"/>
        </w:rPr>
        <w:t>Zmiany w sekcji „MIEJSCE PROWADZENIA EWIDENCJI ORAZ JEJ RODZAJ” (element /</w:t>
      </w:r>
      <w:proofErr w:type="spellStart"/>
      <w:r w:rsidRPr="00266C2A">
        <w:rPr>
          <w:rFonts w:ascii="Lato" w:hAnsi="Lato" w:cstheme="minorHAnsi"/>
          <w:lang w:eastAsia="pl-PL"/>
        </w:rPr>
        <w:t>EwidencjeCelne</w:t>
      </w:r>
      <w:proofErr w:type="spellEnd"/>
      <w:r w:rsidRPr="00266C2A">
        <w:rPr>
          <w:rFonts w:ascii="Lato" w:hAnsi="Lato" w:cstheme="minorHAnsi"/>
          <w:lang w:eastAsia="pl-PL"/>
        </w:rPr>
        <w:t>)</w:t>
      </w:r>
    </w:p>
    <w:p w14:paraId="7E6A7A9D"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Nazwa sekcji zostanie zmieniona na „Rodzaj ewidencji i miejsce jej prowadzenia”.</w:t>
      </w:r>
    </w:p>
    <w:p w14:paraId="55EEC53B"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Zmieniona zostanie wymagalność sekcji:</w:t>
      </w:r>
    </w:p>
    <w:p w14:paraId="44114D5D"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 xml:space="preserve">Sekcja obligatoryjna, gdy Rodzaj wniosku = „1” (Pierwszy wniosek) </w:t>
      </w:r>
    </w:p>
    <w:p w14:paraId="66D1B5F6"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 xml:space="preserve">Aktywna, opcjonalna, startowo niewypełniona i zwinięta z przyciskiem [Dodaj],  gdy Rodzaj wniosku = „2” (Wniosek w sprawie zmiany decyzji) </w:t>
      </w:r>
    </w:p>
    <w:p w14:paraId="163E7BA8" w14:textId="77777777" w:rsidR="008C7DAD" w:rsidRPr="00266C2A" w:rsidRDefault="008C7DAD" w:rsidP="004B450E">
      <w:pPr>
        <w:pStyle w:val="Akapitzlist"/>
        <w:widowControl w:val="0"/>
        <w:numPr>
          <w:ilvl w:val="1"/>
          <w:numId w:val="9"/>
        </w:numPr>
        <w:spacing w:before="120" w:after="120"/>
        <w:rPr>
          <w:rFonts w:ascii="Lato" w:hAnsi="Lato" w:cstheme="minorHAnsi"/>
        </w:rPr>
      </w:pPr>
      <w:r w:rsidRPr="00266C2A">
        <w:rPr>
          <w:rFonts w:ascii="Lato" w:hAnsi="Lato" w:cstheme="minorHAnsi"/>
          <w:lang w:eastAsia="pl-PL"/>
        </w:rPr>
        <w:t>Niedostępna (niewyświetlana na formularzu), gdy Rodzaj wniosku = „4” (Wniosek w sprawie cofnięcia decyzji)</w:t>
      </w:r>
    </w:p>
    <w:p w14:paraId="761A94F9"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rPr>
      </w:pPr>
      <w:r w:rsidRPr="00266C2A">
        <w:rPr>
          <w:rFonts w:ascii="Lato" w:hAnsi="Lato" w:cstheme="minorHAnsi"/>
        </w:rPr>
        <w:t>Podsekcja „Adres” zostanie zmodyfikowana zgodnie z opisem w punkcie 1.2.</w:t>
      </w:r>
    </w:p>
    <w:p w14:paraId="3AB4660A" w14:textId="7EFB3AEE" w:rsidR="008C7DAD" w:rsidRPr="00266C2A" w:rsidRDefault="008C7DAD" w:rsidP="00955463">
      <w:pPr>
        <w:pStyle w:val="Akapitzlist"/>
        <w:widowControl w:val="0"/>
        <w:numPr>
          <w:ilvl w:val="1"/>
          <w:numId w:val="16"/>
        </w:numPr>
        <w:tabs>
          <w:tab w:val="left" w:pos="709"/>
        </w:tabs>
        <w:spacing w:before="120" w:after="120"/>
        <w:rPr>
          <w:rFonts w:ascii="Lato" w:hAnsi="Lato" w:cstheme="minorHAnsi"/>
          <w:lang w:eastAsia="pl-PL"/>
        </w:rPr>
      </w:pPr>
      <w:r w:rsidRPr="00266C2A">
        <w:rPr>
          <w:rFonts w:ascii="Lato" w:hAnsi="Lato" w:cstheme="minorHAnsi"/>
          <w:lang w:eastAsia="pl-PL"/>
        </w:rPr>
        <w:t>Zmiany w sekcji „OPIS TOWARU” (element WDTST01/</w:t>
      </w:r>
      <w:proofErr w:type="spellStart"/>
      <w:r w:rsidRPr="00266C2A">
        <w:rPr>
          <w:rFonts w:ascii="Lato" w:hAnsi="Lato" w:cstheme="minorHAnsi"/>
          <w:lang w:eastAsia="pl-PL"/>
        </w:rPr>
        <w:t>OpisTowaru</w:t>
      </w:r>
      <w:proofErr w:type="spellEnd"/>
      <w:r w:rsidRPr="00266C2A">
        <w:rPr>
          <w:rFonts w:ascii="Lato" w:hAnsi="Lato" w:cstheme="minorHAnsi"/>
          <w:lang w:eastAsia="pl-PL"/>
        </w:rPr>
        <w:t xml:space="preserve"> ) – </w:t>
      </w:r>
      <w:r w:rsidRPr="00266C2A">
        <w:rPr>
          <w:rFonts w:ascii="Lato" w:hAnsi="Lato" w:cstheme="minorHAnsi"/>
          <w:b/>
          <w:bCs/>
          <w:lang w:eastAsia="pl-PL"/>
        </w:rPr>
        <w:t>dotyczy wniosków TST</w:t>
      </w:r>
    </w:p>
    <w:p w14:paraId="35BB57E3"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Sekcja będzie domyślnie rozwinięta, gdy Rodzaj wniosku = „1” (Pierwszy wniosek)</w:t>
      </w:r>
    </w:p>
    <w:p w14:paraId="6F277987"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Zmieniona zostanie wymagalność sekcji:</w:t>
      </w:r>
    </w:p>
    <w:p w14:paraId="586E169E" w14:textId="77777777" w:rsidR="008C7DAD" w:rsidRPr="00266C2A" w:rsidRDefault="008C7DAD" w:rsidP="00944935">
      <w:pPr>
        <w:pStyle w:val="Akapitzlist"/>
        <w:widowControl w:val="0"/>
        <w:numPr>
          <w:ilvl w:val="1"/>
          <w:numId w:val="17"/>
        </w:numPr>
        <w:spacing w:before="120" w:after="120"/>
        <w:rPr>
          <w:rFonts w:ascii="Lato" w:hAnsi="Lato" w:cstheme="minorHAnsi"/>
          <w:lang w:eastAsia="pl-PL"/>
        </w:rPr>
      </w:pPr>
      <w:r w:rsidRPr="00266C2A">
        <w:rPr>
          <w:rFonts w:ascii="Lato" w:hAnsi="Lato" w:cstheme="minorHAnsi"/>
          <w:lang w:eastAsia="pl-PL"/>
        </w:rPr>
        <w:t xml:space="preserve">Sekcja obligatoryjna (musi wystąpić przynajmniej jedna pozycja), gdy Rodzaj wniosku = „1” (Pierwszy wniosek) </w:t>
      </w:r>
    </w:p>
    <w:p w14:paraId="12669EDE" w14:textId="77777777" w:rsidR="008C7DAD" w:rsidRPr="00266C2A" w:rsidRDefault="008C7DAD" w:rsidP="00944935">
      <w:pPr>
        <w:pStyle w:val="Akapitzlist"/>
        <w:widowControl w:val="0"/>
        <w:numPr>
          <w:ilvl w:val="1"/>
          <w:numId w:val="17"/>
        </w:numPr>
        <w:spacing w:before="120" w:after="120"/>
        <w:rPr>
          <w:rFonts w:ascii="Lato" w:hAnsi="Lato" w:cstheme="minorHAnsi"/>
          <w:lang w:eastAsia="pl-PL"/>
        </w:rPr>
      </w:pPr>
      <w:r w:rsidRPr="00266C2A">
        <w:rPr>
          <w:rFonts w:ascii="Lato" w:hAnsi="Lato" w:cstheme="minorHAnsi"/>
          <w:lang w:eastAsia="pl-PL"/>
        </w:rPr>
        <w:t>Opcjonalna, niewypełniona, gdy Rodzaj wniosku = „2” (Wniosek w sprawie zmiany decyzji) – te dane nie są zapisywane do PDR</w:t>
      </w:r>
    </w:p>
    <w:p w14:paraId="05E95A9B" w14:textId="77777777" w:rsidR="008C7DAD" w:rsidRPr="00266C2A" w:rsidRDefault="008C7DAD" w:rsidP="00944935">
      <w:pPr>
        <w:pStyle w:val="Akapitzlist"/>
        <w:widowControl w:val="0"/>
        <w:numPr>
          <w:ilvl w:val="1"/>
          <w:numId w:val="17"/>
        </w:numPr>
        <w:spacing w:before="120" w:after="120"/>
        <w:rPr>
          <w:rFonts w:ascii="Lato" w:hAnsi="Lato" w:cstheme="minorHAnsi"/>
          <w:lang w:eastAsia="pl-PL"/>
        </w:rPr>
      </w:pPr>
      <w:r w:rsidRPr="00266C2A">
        <w:rPr>
          <w:rFonts w:ascii="Lato" w:hAnsi="Lato" w:cstheme="minorHAnsi"/>
          <w:lang w:eastAsia="pl-PL"/>
        </w:rPr>
        <w:t>Niedostępna (niewyświetlana na formularzu), gdy Rodzaj wniosku  = „4” (Wniosek w sprawie cofnięcia decyzji).</w:t>
      </w:r>
    </w:p>
    <w:p w14:paraId="5F7FA323" w14:textId="77777777" w:rsidR="008C7DAD" w:rsidRPr="00266C2A" w:rsidRDefault="008C7DAD" w:rsidP="00955463">
      <w:pPr>
        <w:pStyle w:val="Akapitzlist"/>
        <w:widowControl w:val="0"/>
        <w:numPr>
          <w:ilvl w:val="1"/>
          <w:numId w:val="16"/>
        </w:numPr>
        <w:tabs>
          <w:tab w:val="left" w:pos="709"/>
        </w:tabs>
        <w:spacing w:before="120" w:after="120"/>
        <w:ind w:left="567" w:hanging="567"/>
        <w:rPr>
          <w:rFonts w:ascii="Lato" w:hAnsi="Lato" w:cstheme="minorHAnsi"/>
          <w:lang w:eastAsia="pl-PL"/>
        </w:rPr>
      </w:pPr>
      <w:r w:rsidRPr="00266C2A">
        <w:rPr>
          <w:rFonts w:ascii="Lato" w:hAnsi="Lato" w:cstheme="minorHAnsi"/>
          <w:lang w:eastAsia="pl-PL"/>
        </w:rPr>
        <w:t xml:space="preserve">Zmiany w sekcjach Zmiany w sekcjach „URZĄD CELNY OBJĘCIA” ( element </w:t>
      </w:r>
      <w:proofErr w:type="spellStart"/>
      <w:r w:rsidRPr="00266C2A">
        <w:rPr>
          <w:rFonts w:ascii="Lato" w:hAnsi="Lato" w:cstheme="minorHAnsi"/>
          <w:lang w:eastAsia="pl-PL"/>
        </w:rPr>
        <w:t>UCObjecia</w:t>
      </w:r>
      <w:proofErr w:type="spellEnd"/>
      <w:r w:rsidRPr="00266C2A">
        <w:rPr>
          <w:rFonts w:ascii="Lato" w:hAnsi="Lato" w:cstheme="minorHAnsi"/>
          <w:lang w:eastAsia="pl-PL"/>
        </w:rPr>
        <w:t xml:space="preserve">) oraz „URZĄD CELNY ZAMKNIĘCIA” ( element </w:t>
      </w:r>
      <w:proofErr w:type="spellStart"/>
      <w:r w:rsidRPr="00266C2A">
        <w:rPr>
          <w:rFonts w:ascii="Lato" w:hAnsi="Lato" w:cstheme="minorHAnsi"/>
          <w:lang w:eastAsia="pl-PL"/>
        </w:rPr>
        <w:t>UCZamkniecia</w:t>
      </w:r>
      <w:proofErr w:type="spellEnd"/>
      <w:r w:rsidRPr="00266C2A">
        <w:rPr>
          <w:rFonts w:ascii="Lato" w:hAnsi="Lato" w:cstheme="minorHAnsi"/>
          <w:lang w:eastAsia="pl-PL"/>
        </w:rPr>
        <w:t>)</w:t>
      </w:r>
    </w:p>
    <w:p w14:paraId="3EA258B2"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 xml:space="preserve"> Dla potrzeb tych sekcji utworzony zostanie nowy słownik PDR (widokowy, oparty na słowniku 001), zawierający urzędy celne CUDO.</w:t>
      </w:r>
    </w:p>
    <w:p w14:paraId="75317C7A"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Wyświetlana lista musi zawierać kod i nazwę urzędu, zawsze wyświetlana będzie pełna lista ze słownika.</w:t>
      </w:r>
    </w:p>
    <w:p w14:paraId="06815008"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Dany oddział celny może być wybrany tylko jednokrotnie (należy wprowadzić weryfikację, czy wybrane urzędy się nie powtarzają, lub/i zablokować możliwość ponownego wyboru tego samej pozycji słownika).</w:t>
      </w:r>
    </w:p>
    <w:p w14:paraId="29E7F230" w14:textId="77777777" w:rsidR="008C7DAD" w:rsidRPr="00266C2A" w:rsidRDefault="008C7DAD" w:rsidP="004B450E">
      <w:pPr>
        <w:pStyle w:val="Akapitzlist"/>
        <w:keepNex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Wymagalność sekcji:</w:t>
      </w:r>
    </w:p>
    <w:p w14:paraId="4242E684" w14:textId="77777777" w:rsidR="008C7DAD" w:rsidRPr="00266C2A" w:rsidRDefault="008C7DAD" w:rsidP="00944935">
      <w:pPr>
        <w:pStyle w:val="Akapitzlist"/>
        <w:widowControl w:val="0"/>
        <w:numPr>
          <w:ilvl w:val="1"/>
          <w:numId w:val="10"/>
        </w:numPr>
        <w:spacing w:before="120" w:after="120"/>
        <w:rPr>
          <w:rFonts w:ascii="Lato" w:hAnsi="Lato" w:cstheme="minorHAnsi"/>
          <w:lang w:eastAsia="pl-PL"/>
        </w:rPr>
      </w:pPr>
      <w:r w:rsidRPr="00266C2A">
        <w:rPr>
          <w:rFonts w:ascii="Lato" w:hAnsi="Lato" w:cstheme="minorHAnsi"/>
          <w:lang w:eastAsia="pl-PL"/>
        </w:rPr>
        <w:t xml:space="preserve">Sekcje obligatoryjne (musi wystąpić przynajmniej jedna pozycja w każdej </w:t>
      </w:r>
      <w:r w:rsidRPr="00266C2A">
        <w:rPr>
          <w:rFonts w:ascii="Lato" w:hAnsi="Lato" w:cstheme="minorHAnsi"/>
          <w:lang w:eastAsia="pl-PL"/>
        </w:rPr>
        <w:lastRenderedPageBreak/>
        <w:t xml:space="preserve">z nich), gdy Rodzaj wniosku = „1” (Pierwszy wniosek) </w:t>
      </w:r>
    </w:p>
    <w:p w14:paraId="1B922FF2" w14:textId="77777777" w:rsidR="008C7DAD" w:rsidRPr="00266C2A" w:rsidRDefault="008C7DAD" w:rsidP="00944935">
      <w:pPr>
        <w:pStyle w:val="Akapitzlist"/>
        <w:widowControl w:val="0"/>
        <w:numPr>
          <w:ilvl w:val="1"/>
          <w:numId w:val="18"/>
        </w:numPr>
        <w:spacing w:before="120" w:after="120"/>
        <w:rPr>
          <w:rFonts w:ascii="Lato" w:hAnsi="Lato" w:cstheme="minorHAnsi"/>
          <w:lang w:eastAsia="pl-PL"/>
        </w:rPr>
      </w:pPr>
      <w:r w:rsidRPr="00266C2A">
        <w:rPr>
          <w:rFonts w:ascii="Lato" w:hAnsi="Lato" w:cstheme="minorHAnsi"/>
          <w:lang w:eastAsia="pl-PL"/>
        </w:rPr>
        <w:t xml:space="preserve">Obligatoryjne, inicjowane z PDR, gdy Rodzaj wniosku = „2” (Wniosek w sprawie zmiany decyzji) </w:t>
      </w:r>
    </w:p>
    <w:p w14:paraId="52461029" w14:textId="77777777" w:rsidR="008C7DAD" w:rsidRPr="00266C2A" w:rsidRDefault="008C7DAD" w:rsidP="00944935">
      <w:pPr>
        <w:pStyle w:val="Akapitzlist"/>
        <w:widowControl w:val="0"/>
        <w:numPr>
          <w:ilvl w:val="1"/>
          <w:numId w:val="18"/>
        </w:numPr>
        <w:spacing w:before="120" w:after="120"/>
        <w:rPr>
          <w:rFonts w:ascii="Lato" w:hAnsi="Lato" w:cstheme="minorHAnsi"/>
          <w:lang w:eastAsia="pl-PL"/>
        </w:rPr>
      </w:pPr>
      <w:r w:rsidRPr="00266C2A">
        <w:rPr>
          <w:rFonts w:ascii="Lato" w:hAnsi="Lato" w:cstheme="minorHAnsi"/>
          <w:lang w:eastAsia="pl-PL"/>
        </w:rPr>
        <w:t>Niedostępne (niewyświetlana na formularzu), gdy Rodzaj wniosku = „4” (Wniosek w sprawie cofnięcia decyzji).</w:t>
      </w:r>
    </w:p>
    <w:p w14:paraId="044862F9" w14:textId="77777777" w:rsidR="008C7DAD" w:rsidRPr="00266C2A" w:rsidRDefault="008C7DAD" w:rsidP="00955463">
      <w:pPr>
        <w:pStyle w:val="Akapitzlist"/>
        <w:widowControl w:val="0"/>
        <w:numPr>
          <w:ilvl w:val="1"/>
          <w:numId w:val="16"/>
        </w:numPr>
        <w:tabs>
          <w:tab w:val="left" w:pos="709"/>
        </w:tabs>
        <w:spacing w:before="120" w:after="120"/>
        <w:ind w:left="567" w:hanging="567"/>
        <w:rPr>
          <w:rFonts w:ascii="Lato" w:hAnsi="Lato" w:cstheme="minorHAnsi"/>
          <w:lang w:eastAsia="pl-PL"/>
        </w:rPr>
      </w:pPr>
      <w:r w:rsidRPr="00266C2A">
        <w:rPr>
          <w:rFonts w:ascii="Lato" w:hAnsi="Lato" w:cstheme="minorHAnsi"/>
          <w:lang w:eastAsia="pl-PL"/>
        </w:rPr>
        <w:t xml:space="preserve">Zmiany w sekcji „SZCZEGÓŁY DOTYCZĄCE MIESC SKŁADOWYCH” (element / </w:t>
      </w:r>
      <w:proofErr w:type="spellStart"/>
      <w:r w:rsidRPr="00266C2A">
        <w:rPr>
          <w:rFonts w:ascii="Lato" w:hAnsi="Lato" w:cstheme="minorHAnsi"/>
          <w:lang w:eastAsia="pl-PL"/>
        </w:rPr>
        <w:t>MiejsceSkladowe</w:t>
      </w:r>
      <w:proofErr w:type="spellEnd"/>
      <w:r w:rsidRPr="00266C2A">
        <w:rPr>
          <w:rFonts w:ascii="Lato" w:hAnsi="Lato" w:cstheme="minorHAnsi"/>
          <w:lang w:eastAsia="pl-PL"/>
        </w:rPr>
        <w:t>):</w:t>
      </w:r>
    </w:p>
    <w:p w14:paraId="6809AF2A"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Podsekcja „Adres” zostanie zmodyfikowana zgodnie z opisem w punkcie 1.2.</w:t>
      </w:r>
    </w:p>
    <w:p w14:paraId="5691CDC0"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W tej sekcji, dla potrzeb obsługi wniosku o zmianę, dodany zostanie dodatkowy identyfikator (lub identyfikatory – zależnie od wyniku analizy opisanej w punkcie 2.4.5) – wymagana zmiana w specyfikacji XML komunikatu.</w:t>
      </w:r>
    </w:p>
    <w:p w14:paraId="328F2361"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Zmieniona zostanie wymagalność sekcji. Sekcja:</w:t>
      </w:r>
    </w:p>
    <w:p w14:paraId="384D17E8" w14:textId="77777777" w:rsidR="008C7DAD" w:rsidRPr="00266C2A" w:rsidRDefault="008C7DAD" w:rsidP="00944935">
      <w:pPr>
        <w:pStyle w:val="Akapitzlist"/>
        <w:widowControl w:val="0"/>
        <w:numPr>
          <w:ilvl w:val="1"/>
          <w:numId w:val="19"/>
        </w:numPr>
        <w:spacing w:before="120" w:after="120"/>
        <w:rPr>
          <w:rFonts w:ascii="Lato" w:hAnsi="Lato" w:cstheme="minorHAnsi"/>
          <w:lang w:eastAsia="pl-PL"/>
        </w:rPr>
      </w:pPr>
      <w:r w:rsidRPr="00266C2A">
        <w:rPr>
          <w:rFonts w:ascii="Lato" w:hAnsi="Lato" w:cstheme="minorHAnsi"/>
          <w:lang w:eastAsia="pl-PL"/>
        </w:rPr>
        <w:t xml:space="preserve">Obligatoryjna (musi wystąpić przynajmniej jedna pozycja), gdy Rodzaj wniosku = „1” (Pierwszy wniosek) </w:t>
      </w:r>
    </w:p>
    <w:p w14:paraId="009AE6B1" w14:textId="77777777" w:rsidR="008C7DAD" w:rsidRPr="00266C2A" w:rsidRDefault="008C7DAD" w:rsidP="00944935">
      <w:pPr>
        <w:pStyle w:val="Akapitzlist"/>
        <w:widowControl w:val="0"/>
        <w:numPr>
          <w:ilvl w:val="1"/>
          <w:numId w:val="19"/>
        </w:numPr>
        <w:spacing w:before="120" w:after="120"/>
        <w:rPr>
          <w:rFonts w:ascii="Lato" w:hAnsi="Lato" w:cstheme="minorHAnsi"/>
          <w:lang w:eastAsia="pl-PL"/>
        </w:rPr>
      </w:pPr>
      <w:r w:rsidRPr="00266C2A">
        <w:rPr>
          <w:rFonts w:ascii="Lato" w:hAnsi="Lato" w:cstheme="minorHAnsi"/>
          <w:lang w:eastAsia="pl-PL"/>
        </w:rPr>
        <w:t xml:space="preserve">Obligatoryjna, inicjowana z PDR , gdy Rodzaj wniosku = „2” (Wniosek w sprawie zmiany decyzji) </w:t>
      </w:r>
    </w:p>
    <w:p w14:paraId="5190CBBF" w14:textId="77777777" w:rsidR="008C7DAD" w:rsidRPr="00266C2A" w:rsidRDefault="008C7DAD" w:rsidP="00944935">
      <w:pPr>
        <w:pStyle w:val="Akapitzlist"/>
        <w:widowControl w:val="0"/>
        <w:numPr>
          <w:ilvl w:val="1"/>
          <w:numId w:val="19"/>
        </w:numPr>
        <w:spacing w:before="120" w:after="120"/>
        <w:rPr>
          <w:rFonts w:ascii="Lato" w:hAnsi="Lato" w:cstheme="minorHAnsi"/>
          <w:lang w:eastAsia="pl-PL"/>
        </w:rPr>
      </w:pPr>
      <w:r w:rsidRPr="00266C2A">
        <w:rPr>
          <w:rFonts w:ascii="Lato" w:hAnsi="Lato" w:cstheme="minorHAnsi"/>
          <w:lang w:eastAsia="pl-PL"/>
        </w:rPr>
        <w:t>Niedostępna (niewyświetlana na formularzu), gdy Rodzaj wniosku = „4” (Wniosek w sprawie cofnięcia decyzji).</w:t>
      </w:r>
    </w:p>
    <w:p w14:paraId="090C4ACB" w14:textId="6B021A60" w:rsidR="008C7DAD" w:rsidRPr="00266C2A" w:rsidRDefault="008C7DAD" w:rsidP="00955463">
      <w:pPr>
        <w:pStyle w:val="Akapitzlist"/>
        <w:widowControl w:val="0"/>
        <w:numPr>
          <w:ilvl w:val="1"/>
          <w:numId w:val="16"/>
        </w:numPr>
        <w:tabs>
          <w:tab w:val="left" w:pos="709"/>
        </w:tabs>
        <w:spacing w:before="120" w:after="120"/>
        <w:rPr>
          <w:rFonts w:ascii="Lato" w:hAnsi="Lato" w:cstheme="minorHAnsi"/>
          <w:lang w:eastAsia="pl-PL"/>
        </w:rPr>
      </w:pPr>
      <w:r w:rsidRPr="00266C2A">
        <w:rPr>
          <w:rFonts w:ascii="Lato" w:hAnsi="Lato" w:cstheme="minorHAnsi"/>
          <w:lang w:eastAsia="pl-PL"/>
        </w:rPr>
        <w:t>Zmiany w sekcji „PRZEMIESZCZENIE TOWARÓW” (element /</w:t>
      </w:r>
      <w:proofErr w:type="spellStart"/>
      <w:r w:rsidRPr="00266C2A">
        <w:rPr>
          <w:rFonts w:ascii="Lato" w:hAnsi="Lato" w:cstheme="minorHAnsi"/>
          <w:lang w:eastAsia="pl-PL"/>
        </w:rPr>
        <w:t>PrzemieszczenieTowarow</w:t>
      </w:r>
      <w:proofErr w:type="spellEnd"/>
      <w:r w:rsidRPr="00266C2A">
        <w:rPr>
          <w:rFonts w:ascii="Lato" w:hAnsi="Lato" w:cstheme="minorHAnsi"/>
          <w:lang w:eastAsia="pl-PL"/>
        </w:rPr>
        <w:t xml:space="preserve">) - </w:t>
      </w:r>
      <w:r w:rsidRPr="00266C2A">
        <w:rPr>
          <w:rFonts w:ascii="Lato" w:hAnsi="Lato" w:cstheme="minorHAnsi"/>
          <w:b/>
          <w:bCs/>
          <w:lang w:eastAsia="pl-PL"/>
        </w:rPr>
        <w:t>dotyczy wniosków TST</w:t>
      </w:r>
    </w:p>
    <w:p w14:paraId="43AA58FE"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Jeżeli Wnioskodawca nie posiada pozwolenia AEOC, wtedy w polu „Kod podstawy prawnej” musi wystąpić wartość „A”</w:t>
      </w:r>
    </w:p>
    <w:p w14:paraId="7924D54C"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Jeżeli Wnioskodawca posiada pozwolenie AEOC , wtedy dostępne są wszystkie kody podstawy prawnej</w:t>
      </w:r>
    </w:p>
    <w:p w14:paraId="1517BA53"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Kod kraju lokalizacji = stała wartość „PL”</w:t>
      </w:r>
    </w:p>
    <w:p w14:paraId="4A53C36A"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Kod rodzaju lokalizacji = stała wartość „B”</w:t>
      </w:r>
    </w:p>
    <w:p w14:paraId="0A7C9B5E"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 xml:space="preserve">Rodzaj kodu użytego do identyfikacji lokalizacji – nazwa pola zostanie zmieniona na „Kwalifikator lokalizacji” =  stała wartość „Y” </w:t>
      </w:r>
    </w:p>
    <w:p w14:paraId="6961212A"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Identyfikacja lokalizacji = numer pozwolenia (należy zmienić nazwę na formularzu) – do wyboru ze słownika 4014V1</w:t>
      </w:r>
    </w:p>
    <w:p w14:paraId="4E42350E"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Dodatkowy identyfikator (ID) =  „Numer identyfikacyjny miejsca” z PDR</w:t>
      </w:r>
    </w:p>
    <w:p w14:paraId="5CFA2A08"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Podsekcja „Adres” zostanie usunięta</w:t>
      </w:r>
    </w:p>
    <w:p w14:paraId="042B6DD8"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Dodana zostanie weryfikacja podanego EORI w PDR / EOS</w:t>
      </w:r>
    </w:p>
    <w:p w14:paraId="1121B164"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Wartość podana w polu „Numer pozwolenia” będzie walidowana ze słownikiem w słowniku 4014V1 PDR – pozwolenie musi istnieć i być aktywne</w:t>
      </w:r>
    </w:p>
    <w:p w14:paraId="549F0C77"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Zmieniona zostanie wymagalność sekcji. Sekcja będzie:</w:t>
      </w:r>
    </w:p>
    <w:p w14:paraId="74AE017A"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 xml:space="preserve">Opcjonalna (z przyciskiem [Dodaj]) gdy Rodzaj wniosku = „1” (Pierwszy wniosek) oraz gdy Rodzaj wniosku = „2” (Wniosek w sprawie zmiany </w:t>
      </w:r>
      <w:r w:rsidRPr="00266C2A">
        <w:rPr>
          <w:rFonts w:ascii="Lato" w:hAnsi="Lato" w:cstheme="minorHAnsi"/>
          <w:lang w:eastAsia="pl-PL"/>
        </w:rPr>
        <w:lastRenderedPageBreak/>
        <w:t xml:space="preserve">decyzji) – dane inicjowane z PDR, dostępne do zmiany. </w:t>
      </w:r>
    </w:p>
    <w:p w14:paraId="527B93C4"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Niedostępna (niewyświetlana na formularzu) gdy Rodzaj wniosku = „4” (Wniosek w sprawie cofnięcia decyzji).</w:t>
      </w:r>
    </w:p>
    <w:p w14:paraId="1040BAF2" w14:textId="77777777" w:rsidR="008C7DAD" w:rsidRPr="00266C2A" w:rsidRDefault="008C7DAD" w:rsidP="00955463">
      <w:pPr>
        <w:pStyle w:val="Akapitzlist"/>
        <w:widowControl w:val="0"/>
        <w:numPr>
          <w:ilvl w:val="1"/>
          <w:numId w:val="16"/>
        </w:numPr>
        <w:spacing w:before="120" w:after="120"/>
        <w:rPr>
          <w:rFonts w:ascii="Lato" w:hAnsi="Lato" w:cstheme="minorHAnsi"/>
        </w:rPr>
      </w:pPr>
      <w:r w:rsidRPr="00266C2A">
        <w:rPr>
          <w:rFonts w:ascii="Lato" w:hAnsi="Lato" w:cstheme="minorHAnsi"/>
          <w:lang w:eastAsia="pl-PL"/>
        </w:rPr>
        <w:t>Zmiany w sekcji „TOWARY, KTÓRE MAJĄ BYĆ OBJĘTE PROCEDURĄ” (element /</w:t>
      </w:r>
      <w:r w:rsidRPr="00266C2A">
        <w:rPr>
          <w:rFonts w:ascii="Lato" w:hAnsi="Lato" w:cstheme="minorHAnsi"/>
        </w:rPr>
        <w:t xml:space="preserve"> </w:t>
      </w:r>
      <w:proofErr w:type="spellStart"/>
      <w:r w:rsidRPr="00266C2A">
        <w:rPr>
          <w:rFonts w:ascii="Lato" w:hAnsi="Lato" w:cstheme="minorHAnsi"/>
        </w:rPr>
        <w:t>TowarObejmowany</w:t>
      </w:r>
      <w:proofErr w:type="spellEnd"/>
      <w:r w:rsidRPr="00266C2A">
        <w:rPr>
          <w:rFonts w:ascii="Lato" w:hAnsi="Lato" w:cstheme="minorHAnsi"/>
        </w:rPr>
        <w:t xml:space="preserve">) -  </w:t>
      </w:r>
      <w:r w:rsidRPr="00266C2A">
        <w:rPr>
          <w:rFonts w:ascii="Lato" w:hAnsi="Lato" w:cstheme="minorHAnsi"/>
          <w:b/>
          <w:bCs/>
        </w:rPr>
        <w:t xml:space="preserve">dotyczy wniosków </w:t>
      </w:r>
      <w:bookmarkStart w:id="1" w:name="_Hlk129273072"/>
      <w:r w:rsidRPr="00266C2A">
        <w:rPr>
          <w:rFonts w:ascii="Lato" w:hAnsi="Lato" w:cstheme="minorHAnsi"/>
          <w:b/>
          <w:bCs/>
        </w:rPr>
        <w:t>CWP, CW1 i CW2</w:t>
      </w:r>
      <w:bookmarkEnd w:id="1"/>
    </w:p>
    <w:p w14:paraId="1E50990D"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Sekcja będzie domyślnie rozwinięta, musi wystąpić przynajmniej jeden opis dla rodzaju wniosku = 1 i 2</w:t>
      </w:r>
    </w:p>
    <w:p w14:paraId="150C57F9"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 xml:space="preserve">Do tej sekcji zostanie przesunięte pole „Sposób identyfikacji towaru” z sekcji _IDENTYFIKACJA TOWARÓW”. Uwagi takie same co do sposobu działania, jak w pkt 1.7 poniżej. </w:t>
      </w:r>
    </w:p>
    <w:p w14:paraId="1597B38A"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Zmieniona zostanie jej wymagalność. Sekcja będzie:</w:t>
      </w:r>
    </w:p>
    <w:p w14:paraId="77CF84EE"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 xml:space="preserve">Obligatoryjna (musi wystąpić przynajmniej jedna pozycja), gdy Rodzaj wniosku = „1” (Pierwszy wniosek) </w:t>
      </w:r>
    </w:p>
    <w:p w14:paraId="6F2B8975"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 xml:space="preserve">Obligatoryjna, inicjowana z PDR (w zakresie kodów towarowych), gdy Rodzaj wniosku = „2” (Wniosek w sprawie zmiany decyzji) </w:t>
      </w:r>
    </w:p>
    <w:p w14:paraId="74453607" w14:textId="77777777" w:rsidR="008C7DAD" w:rsidRPr="00266C2A" w:rsidRDefault="008C7DAD" w:rsidP="004B450E">
      <w:pPr>
        <w:pStyle w:val="Akapitzlist"/>
        <w:widowControl w:val="0"/>
        <w:numPr>
          <w:ilvl w:val="1"/>
          <w:numId w:val="9"/>
        </w:numPr>
        <w:spacing w:before="120" w:after="120"/>
        <w:rPr>
          <w:rFonts w:ascii="Lato" w:hAnsi="Lato" w:cstheme="minorHAnsi"/>
        </w:rPr>
      </w:pPr>
      <w:r w:rsidRPr="00266C2A">
        <w:rPr>
          <w:rFonts w:ascii="Lato" w:hAnsi="Lato" w:cstheme="minorHAnsi"/>
          <w:lang w:eastAsia="pl-PL"/>
        </w:rPr>
        <w:t>Niedostępna (niewyświetlana na formularzu) gdy Rodzaj wniosku = „4” (Wniosek w sprawie cofnięcia decyzji).</w:t>
      </w:r>
    </w:p>
    <w:p w14:paraId="2EC05B7C" w14:textId="77777777" w:rsidR="008C7DAD" w:rsidRPr="00266C2A" w:rsidRDefault="008C7DAD" w:rsidP="00955463">
      <w:pPr>
        <w:pStyle w:val="Akapitzlist"/>
        <w:widowControl w:val="0"/>
        <w:numPr>
          <w:ilvl w:val="1"/>
          <w:numId w:val="16"/>
        </w:numPr>
        <w:spacing w:before="120" w:after="120"/>
        <w:rPr>
          <w:rFonts w:ascii="Lato" w:hAnsi="Lato" w:cstheme="minorHAnsi"/>
          <w:b/>
          <w:bCs/>
        </w:rPr>
      </w:pPr>
      <w:r w:rsidRPr="00266C2A">
        <w:rPr>
          <w:rFonts w:ascii="Lato" w:hAnsi="Lato" w:cstheme="minorHAnsi"/>
        </w:rPr>
        <w:t>Zmiany w sekcji „TOWARY EKWIWALENTNE” (element /</w:t>
      </w:r>
      <w:proofErr w:type="spellStart"/>
      <w:r w:rsidRPr="00266C2A">
        <w:rPr>
          <w:rFonts w:ascii="Lato" w:hAnsi="Lato" w:cstheme="minorHAnsi"/>
        </w:rPr>
        <w:t>TowarEkwiwalentny</w:t>
      </w:r>
      <w:proofErr w:type="spellEnd"/>
      <w:r w:rsidRPr="00266C2A">
        <w:rPr>
          <w:rFonts w:ascii="Lato" w:hAnsi="Lato" w:cstheme="minorHAnsi"/>
        </w:rPr>
        <w:t xml:space="preserve">) – </w:t>
      </w:r>
      <w:r w:rsidRPr="00266C2A">
        <w:rPr>
          <w:rFonts w:ascii="Lato" w:hAnsi="Lato" w:cstheme="minorHAnsi"/>
          <w:b/>
          <w:bCs/>
        </w:rPr>
        <w:t>dotyczy wniosków CWP, CW1 i CW2</w:t>
      </w:r>
    </w:p>
    <w:p w14:paraId="248271D3"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Sekcja będzie domyślnie zwinięta z przyciskiem [Dodaj].</w:t>
      </w:r>
    </w:p>
    <w:p w14:paraId="3B5573F5"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Do tej sekcji zostanie przesunięte pole „Sposób identyfikacji towaru” z sekcji „IDENTYFIKACJA TOWARÓW”.</w:t>
      </w:r>
    </w:p>
    <w:p w14:paraId="584E62B5"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rPr>
      </w:pPr>
      <w:r w:rsidRPr="00266C2A">
        <w:rPr>
          <w:rFonts w:ascii="Lato" w:hAnsi="Lato" w:cstheme="minorHAnsi"/>
          <w:lang w:eastAsia="pl-PL"/>
        </w:rPr>
        <w:t xml:space="preserve">Dotychczasowa sekcja „Identyfikacja Towarów” zostanie usunięta – należy ją zamienić na podsekcję „Sposób identyfikacji towaru” </w:t>
      </w:r>
      <w:r w:rsidRPr="00266C2A">
        <w:rPr>
          <w:rFonts w:ascii="Lato" w:hAnsi="Lato" w:cstheme="minorHAnsi"/>
        </w:rPr>
        <w:t>w sekcji „TOWARY EKWIWALENTNE”,</w:t>
      </w:r>
      <w:r w:rsidRPr="00266C2A">
        <w:rPr>
          <w:rFonts w:ascii="Lato" w:hAnsi="Lato" w:cstheme="minorHAnsi"/>
          <w:lang w:eastAsia="pl-PL"/>
        </w:rPr>
        <w:t xml:space="preserve"> zawierającą dwa pola: „Kod” (wymagane) oraz „Opis” (opcjonalne) - zmiana wymaga modyfikacji struktur komunikatów XML oraz PDR:</w:t>
      </w:r>
    </w:p>
    <w:p w14:paraId="522D9863"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Pole opisowe musi być dostępne do edycji przez użytkownika niezależnie od kodu – nie jest to nazwa dla kodu</w:t>
      </w:r>
    </w:p>
    <w:p w14:paraId="3A3BF79D"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 xml:space="preserve">Lista wyświetlana w polu „Sposób identyfikacji </w:t>
      </w:r>
      <w:proofErr w:type="spellStart"/>
      <w:r w:rsidRPr="00266C2A">
        <w:rPr>
          <w:rFonts w:ascii="Lato" w:hAnsi="Lato" w:cstheme="minorHAnsi"/>
          <w:lang w:eastAsia="pl-PL"/>
        </w:rPr>
        <w:t>towaru.Kod</w:t>
      </w:r>
      <w:proofErr w:type="spellEnd"/>
      <w:r w:rsidRPr="00266C2A">
        <w:rPr>
          <w:rFonts w:ascii="Lato" w:hAnsi="Lato" w:cstheme="minorHAnsi"/>
          <w:lang w:eastAsia="pl-PL"/>
        </w:rPr>
        <w:t xml:space="preserve">”  musi mieć postać: kod – nazwa. Na formularzach WDCWP01, WDCW101, WDCW201 wartości muszą być ograniczone do następujących kodów: </w:t>
      </w:r>
    </w:p>
    <w:p w14:paraId="29972039" w14:textId="77777777" w:rsidR="008C7DAD" w:rsidRPr="00266C2A" w:rsidRDefault="008C7DAD" w:rsidP="004B450E">
      <w:pPr>
        <w:pStyle w:val="Akapitzlist"/>
        <w:widowControl w:val="0"/>
        <w:numPr>
          <w:ilvl w:val="2"/>
          <w:numId w:val="9"/>
        </w:numPr>
        <w:spacing w:before="120" w:after="120"/>
        <w:rPr>
          <w:rFonts w:ascii="Lato" w:hAnsi="Lato" w:cstheme="minorHAnsi"/>
          <w:lang w:eastAsia="pl-PL"/>
        </w:rPr>
      </w:pPr>
      <w:r w:rsidRPr="00266C2A">
        <w:rPr>
          <w:rFonts w:ascii="Lato" w:hAnsi="Lato" w:cstheme="minorHAnsi"/>
          <w:lang w:eastAsia="pl-PL"/>
        </w:rPr>
        <w:t xml:space="preserve">1 - numer seryjny lub numer producenta </w:t>
      </w:r>
    </w:p>
    <w:p w14:paraId="25BBEA8C" w14:textId="77777777" w:rsidR="008C7DAD" w:rsidRPr="00266C2A" w:rsidRDefault="008C7DAD" w:rsidP="004B450E">
      <w:pPr>
        <w:pStyle w:val="Akapitzlist"/>
        <w:widowControl w:val="0"/>
        <w:numPr>
          <w:ilvl w:val="2"/>
          <w:numId w:val="9"/>
        </w:numPr>
        <w:spacing w:before="120" w:after="120"/>
        <w:rPr>
          <w:rFonts w:ascii="Lato" w:hAnsi="Lato" w:cstheme="minorHAnsi"/>
          <w:lang w:eastAsia="pl-PL"/>
        </w:rPr>
      </w:pPr>
      <w:r w:rsidRPr="00266C2A">
        <w:rPr>
          <w:rFonts w:ascii="Lato" w:hAnsi="Lato" w:cstheme="minorHAnsi"/>
          <w:lang w:eastAsia="pl-PL"/>
        </w:rPr>
        <w:t xml:space="preserve">2 - umieszczenie plomb, pieczęci, znaków w formie klipsów oraz innych znaków wyróżniających </w:t>
      </w:r>
    </w:p>
    <w:p w14:paraId="3521CD69" w14:textId="77777777" w:rsidR="008C7DAD" w:rsidRPr="00266C2A" w:rsidRDefault="008C7DAD" w:rsidP="004B450E">
      <w:pPr>
        <w:pStyle w:val="Akapitzlist"/>
        <w:widowControl w:val="0"/>
        <w:numPr>
          <w:ilvl w:val="2"/>
          <w:numId w:val="9"/>
        </w:numPr>
        <w:spacing w:before="120" w:after="120"/>
        <w:rPr>
          <w:rFonts w:ascii="Lato" w:hAnsi="Lato" w:cstheme="minorHAnsi"/>
          <w:lang w:eastAsia="pl-PL"/>
        </w:rPr>
      </w:pPr>
      <w:r w:rsidRPr="00266C2A">
        <w:rPr>
          <w:rFonts w:ascii="Lato" w:hAnsi="Lato" w:cstheme="minorHAnsi"/>
          <w:lang w:eastAsia="pl-PL"/>
        </w:rPr>
        <w:t xml:space="preserve">4- pobranie próbek, użycie ilustracji lub opisów technicznych </w:t>
      </w:r>
    </w:p>
    <w:p w14:paraId="6CD1F2BC" w14:textId="77777777" w:rsidR="008C7DAD" w:rsidRPr="00266C2A" w:rsidRDefault="008C7DAD" w:rsidP="004B450E">
      <w:pPr>
        <w:pStyle w:val="Akapitzlist"/>
        <w:widowControl w:val="0"/>
        <w:numPr>
          <w:ilvl w:val="2"/>
          <w:numId w:val="9"/>
        </w:numPr>
        <w:spacing w:before="120" w:after="120"/>
        <w:rPr>
          <w:rFonts w:ascii="Lato" w:hAnsi="Lato" w:cstheme="minorHAnsi"/>
          <w:lang w:eastAsia="pl-PL"/>
        </w:rPr>
      </w:pPr>
      <w:r w:rsidRPr="00266C2A">
        <w:rPr>
          <w:rFonts w:ascii="Lato" w:hAnsi="Lato" w:cstheme="minorHAnsi"/>
          <w:lang w:eastAsia="pl-PL"/>
        </w:rPr>
        <w:t xml:space="preserve">5 - przeprowadzenie analiz </w:t>
      </w:r>
    </w:p>
    <w:p w14:paraId="4D59FBF9" w14:textId="77777777" w:rsidR="008C7DAD" w:rsidRPr="00266C2A" w:rsidRDefault="008C7DAD" w:rsidP="004B450E">
      <w:pPr>
        <w:pStyle w:val="Akapitzlist"/>
        <w:widowControl w:val="0"/>
        <w:numPr>
          <w:ilvl w:val="2"/>
          <w:numId w:val="9"/>
        </w:numPr>
        <w:spacing w:before="120" w:after="120"/>
        <w:rPr>
          <w:rFonts w:ascii="Lato" w:hAnsi="Lato" w:cstheme="minorHAnsi"/>
          <w:lang w:eastAsia="pl-PL"/>
        </w:rPr>
      </w:pPr>
      <w:r w:rsidRPr="00266C2A">
        <w:rPr>
          <w:rFonts w:ascii="Lato" w:hAnsi="Lato" w:cstheme="minorHAnsi"/>
          <w:lang w:eastAsia="pl-PL"/>
        </w:rPr>
        <w:t>7 - inne sposoby identyfikacji ( w tym przypadku wymagane jest podanie wyjaśnienia sposobów identyfikacji, które zostaną wykorzystane).</w:t>
      </w:r>
    </w:p>
    <w:p w14:paraId="10246C08"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lastRenderedPageBreak/>
        <w:t>Zmieniona zostanie wymagalność sekcji. Sekcja będzie:</w:t>
      </w:r>
    </w:p>
    <w:p w14:paraId="605129F3"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 xml:space="preserve">Opcjonalna, gdy Rodzaj wniosku = „1” (Pierwszy wniosek) </w:t>
      </w:r>
    </w:p>
    <w:p w14:paraId="24C32E37"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 xml:space="preserve">Opcjonalna, inicjowana z PDR , gdy Rodzaj wniosku = „2” (Wniosek w sprawie zmiany decyzji) </w:t>
      </w:r>
    </w:p>
    <w:p w14:paraId="6ED0ACC6" w14:textId="77777777" w:rsidR="008C7DAD" w:rsidRPr="00266C2A" w:rsidRDefault="008C7DAD" w:rsidP="004B450E">
      <w:pPr>
        <w:pStyle w:val="Akapitzlist"/>
        <w:widowControl w:val="0"/>
        <w:numPr>
          <w:ilvl w:val="1"/>
          <w:numId w:val="9"/>
        </w:numPr>
        <w:spacing w:before="120" w:after="120"/>
        <w:rPr>
          <w:rFonts w:ascii="Lato" w:hAnsi="Lato" w:cstheme="minorHAnsi"/>
          <w:lang w:eastAsia="pl-PL"/>
        </w:rPr>
      </w:pPr>
      <w:r w:rsidRPr="00266C2A">
        <w:rPr>
          <w:rFonts w:ascii="Lato" w:hAnsi="Lato" w:cstheme="minorHAnsi"/>
          <w:lang w:eastAsia="pl-PL"/>
        </w:rPr>
        <w:t>Niedostępna (niewyświetlana na formularzu) gdy Rodzaj wniosku = „4” (Wniosek w sprawie cofnięcia decyzji).</w:t>
      </w:r>
    </w:p>
    <w:p w14:paraId="321BC70D" w14:textId="77777777" w:rsidR="008C7DAD" w:rsidRPr="00266C2A" w:rsidRDefault="008C7DAD" w:rsidP="00955463">
      <w:pPr>
        <w:pStyle w:val="Akapitzlist"/>
        <w:widowControl w:val="0"/>
        <w:numPr>
          <w:ilvl w:val="1"/>
          <w:numId w:val="16"/>
        </w:numPr>
        <w:spacing w:before="120" w:after="120"/>
        <w:rPr>
          <w:rFonts w:ascii="Lato" w:hAnsi="Lato" w:cstheme="minorHAnsi"/>
        </w:rPr>
      </w:pPr>
      <w:r w:rsidRPr="00266C2A">
        <w:rPr>
          <w:rFonts w:ascii="Lato" w:hAnsi="Lato" w:cstheme="minorHAnsi"/>
        </w:rPr>
        <w:t xml:space="preserve">Zmiany w sekcji  „IDENTYFIKACJA TOWARÓW” (element / </w:t>
      </w:r>
      <w:proofErr w:type="spellStart"/>
      <w:r w:rsidRPr="00266C2A">
        <w:rPr>
          <w:rFonts w:ascii="Lato" w:hAnsi="Lato" w:cstheme="minorHAnsi"/>
        </w:rPr>
        <w:t>IdentyfikacjaTowarow</w:t>
      </w:r>
      <w:proofErr w:type="spellEnd"/>
      <w:r w:rsidRPr="00266C2A">
        <w:rPr>
          <w:rFonts w:ascii="Lato" w:hAnsi="Lato" w:cstheme="minorHAnsi"/>
        </w:rPr>
        <w:t xml:space="preserve">) </w:t>
      </w:r>
    </w:p>
    <w:p w14:paraId="6EB00726" w14:textId="77777777" w:rsidR="008C7DAD" w:rsidRPr="00266C2A" w:rsidRDefault="008C7DAD" w:rsidP="004B450E">
      <w:pPr>
        <w:widowControl w:val="0"/>
        <w:spacing w:before="120" w:after="120" w:line="240" w:lineRule="auto"/>
        <w:ind w:left="720"/>
        <w:rPr>
          <w:rFonts w:ascii="Lato" w:hAnsi="Lato" w:cstheme="minorHAnsi"/>
          <w:sz w:val="24"/>
          <w:szCs w:val="24"/>
        </w:rPr>
      </w:pPr>
      <w:r w:rsidRPr="00266C2A">
        <w:rPr>
          <w:rFonts w:ascii="Lato" w:hAnsi="Lato" w:cstheme="minorHAnsi"/>
          <w:sz w:val="24"/>
          <w:szCs w:val="24"/>
        </w:rPr>
        <w:t>Sekcja zostanie usunięta, zgodnie z opisem w punkcie powyżej.</w:t>
      </w:r>
    </w:p>
    <w:p w14:paraId="4DAFC6F5" w14:textId="77777777" w:rsidR="008C7DAD" w:rsidRPr="00266C2A" w:rsidRDefault="008C7DAD" w:rsidP="00955463">
      <w:pPr>
        <w:pStyle w:val="Akapitzlist"/>
        <w:widowControl w:val="0"/>
        <w:numPr>
          <w:ilvl w:val="1"/>
          <w:numId w:val="16"/>
        </w:numPr>
        <w:spacing w:before="120" w:after="120"/>
        <w:rPr>
          <w:rFonts w:ascii="Lato" w:hAnsi="Lato" w:cstheme="minorHAnsi"/>
        </w:rPr>
      </w:pPr>
      <w:r w:rsidRPr="00266C2A">
        <w:rPr>
          <w:rFonts w:ascii="Lato" w:hAnsi="Lato" w:cstheme="minorHAnsi"/>
        </w:rPr>
        <w:t xml:space="preserve">Zmiany w sekcji  „SZCZEGÓŁOWE INFORMACJE DOTYCZACE PLANOWANYCH DZIAŁAŃ” (element / </w:t>
      </w:r>
      <w:proofErr w:type="spellStart"/>
      <w:r w:rsidRPr="00266C2A">
        <w:rPr>
          <w:rFonts w:ascii="Lato" w:hAnsi="Lato" w:cstheme="minorHAnsi"/>
        </w:rPr>
        <w:t>PlanowaneDzialania</w:t>
      </w:r>
      <w:proofErr w:type="spellEnd"/>
      <w:r w:rsidRPr="00266C2A">
        <w:rPr>
          <w:rFonts w:ascii="Lato" w:hAnsi="Lato" w:cstheme="minorHAnsi"/>
        </w:rPr>
        <w:t xml:space="preserve">) – </w:t>
      </w:r>
      <w:r w:rsidRPr="00266C2A">
        <w:rPr>
          <w:rFonts w:ascii="Lato" w:hAnsi="Lato" w:cstheme="minorHAnsi"/>
          <w:b/>
          <w:bCs/>
        </w:rPr>
        <w:t>dotyczy wniosków CWP, CW1, CW2</w:t>
      </w:r>
    </w:p>
    <w:p w14:paraId="6B7074F3" w14:textId="77777777" w:rsidR="008C7DAD" w:rsidRPr="00266C2A" w:rsidRDefault="008C7DAD" w:rsidP="004B450E">
      <w:pPr>
        <w:widowControl w:val="0"/>
        <w:spacing w:before="120" w:after="120" w:line="240" w:lineRule="auto"/>
        <w:ind w:left="720"/>
        <w:rPr>
          <w:rFonts w:ascii="Lato" w:hAnsi="Lato" w:cstheme="minorHAnsi"/>
          <w:sz w:val="24"/>
          <w:szCs w:val="24"/>
        </w:rPr>
      </w:pPr>
      <w:r w:rsidRPr="00266C2A">
        <w:rPr>
          <w:rFonts w:ascii="Lato" w:hAnsi="Lato" w:cstheme="minorHAnsi"/>
          <w:sz w:val="24"/>
          <w:szCs w:val="24"/>
        </w:rPr>
        <w:t>Zmieniona zostanie wymagalność sekcji:</w:t>
      </w:r>
    </w:p>
    <w:p w14:paraId="54438736" w14:textId="77777777" w:rsidR="008C7DAD" w:rsidRPr="00266C2A" w:rsidRDefault="008C7DAD" w:rsidP="004B450E">
      <w:pPr>
        <w:pStyle w:val="Akapitzlist"/>
        <w:widowControl w:val="0"/>
        <w:numPr>
          <w:ilvl w:val="1"/>
          <w:numId w:val="9"/>
        </w:numPr>
        <w:spacing w:before="120" w:after="120"/>
        <w:rPr>
          <w:rFonts w:ascii="Lato" w:hAnsi="Lato" w:cstheme="minorHAnsi"/>
        </w:rPr>
      </w:pPr>
      <w:r w:rsidRPr="00266C2A">
        <w:rPr>
          <w:rFonts w:ascii="Lato" w:hAnsi="Lato" w:cstheme="minorHAnsi"/>
        </w:rPr>
        <w:t xml:space="preserve">Sekcja domyślnie rozwinięta i wymagana na wniosku o nowe pozwolenie, tj. gdy Rodzaj wniosku = „1” (Pierwszy wniosek) </w:t>
      </w:r>
    </w:p>
    <w:p w14:paraId="3DA7030D" w14:textId="77777777" w:rsidR="008C7DAD" w:rsidRPr="00266C2A" w:rsidRDefault="008C7DAD" w:rsidP="004B450E">
      <w:pPr>
        <w:pStyle w:val="Akapitzlist"/>
        <w:widowControl w:val="0"/>
        <w:numPr>
          <w:ilvl w:val="1"/>
          <w:numId w:val="9"/>
        </w:numPr>
        <w:spacing w:before="120" w:after="120"/>
        <w:rPr>
          <w:rFonts w:ascii="Lato" w:hAnsi="Lato" w:cstheme="minorHAnsi"/>
        </w:rPr>
      </w:pPr>
      <w:r w:rsidRPr="00266C2A">
        <w:rPr>
          <w:rFonts w:ascii="Lato" w:hAnsi="Lato" w:cstheme="minorHAnsi"/>
        </w:rPr>
        <w:t xml:space="preserve">Opcjonalna, pusta (brak w PDR), domyślnie zwinięta z przyciskiem [Dodaj], gdy Rodzaj wniosku = „2” (Wniosek w sprawie zmiany decyzji) </w:t>
      </w:r>
    </w:p>
    <w:p w14:paraId="4B2CDACB" w14:textId="77777777" w:rsidR="008C7DAD" w:rsidRPr="00266C2A" w:rsidRDefault="008C7DAD" w:rsidP="004B450E">
      <w:pPr>
        <w:pStyle w:val="Akapitzlist"/>
        <w:widowControl w:val="0"/>
        <w:numPr>
          <w:ilvl w:val="1"/>
          <w:numId w:val="9"/>
        </w:numPr>
        <w:spacing w:before="120" w:after="120"/>
        <w:rPr>
          <w:rFonts w:ascii="Lato" w:hAnsi="Lato" w:cstheme="minorHAnsi"/>
        </w:rPr>
      </w:pPr>
      <w:r w:rsidRPr="00266C2A">
        <w:rPr>
          <w:rFonts w:ascii="Lato" w:hAnsi="Lato" w:cstheme="minorHAnsi"/>
        </w:rPr>
        <w:t>Niedostępna (niewyświetlana na formularzu) gdy Rodzaj wniosku = „4” (Wniosek w sprawie cofnięcia decyzji).</w:t>
      </w:r>
    </w:p>
    <w:p w14:paraId="325623BB" w14:textId="77777777" w:rsidR="008C7DAD" w:rsidRPr="00266C2A" w:rsidRDefault="008C7DAD" w:rsidP="00955463">
      <w:pPr>
        <w:pStyle w:val="Akapitzlist"/>
        <w:widowControl w:val="0"/>
        <w:numPr>
          <w:ilvl w:val="1"/>
          <w:numId w:val="16"/>
        </w:numPr>
        <w:spacing w:before="120" w:after="120"/>
        <w:rPr>
          <w:rFonts w:ascii="Lato" w:hAnsi="Lato" w:cstheme="minorHAnsi"/>
        </w:rPr>
      </w:pPr>
      <w:r w:rsidRPr="00266C2A">
        <w:rPr>
          <w:rFonts w:ascii="Lato" w:hAnsi="Lato" w:cstheme="minorHAnsi"/>
        </w:rPr>
        <w:t>Zmiany w sekcji  „SKŁADOWANIE TOWARÓW UNIJNYCH” (element /</w:t>
      </w:r>
      <w:proofErr w:type="spellStart"/>
      <w:r w:rsidRPr="00266C2A">
        <w:rPr>
          <w:rFonts w:ascii="Lato" w:hAnsi="Lato" w:cstheme="minorHAnsi"/>
        </w:rPr>
        <w:t>SkladowanieTowarowUE</w:t>
      </w:r>
      <w:proofErr w:type="spellEnd"/>
      <w:r w:rsidRPr="00266C2A">
        <w:rPr>
          <w:rFonts w:ascii="Lato" w:hAnsi="Lato" w:cstheme="minorHAnsi"/>
        </w:rPr>
        <w:t xml:space="preserve">) - </w:t>
      </w:r>
      <w:r w:rsidRPr="00266C2A">
        <w:rPr>
          <w:rFonts w:ascii="Lato" w:hAnsi="Lato" w:cstheme="minorHAnsi"/>
          <w:b/>
          <w:bCs/>
        </w:rPr>
        <w:t>dotyczy wniosków CWP, CW1, CW2</w:t>
      </w:r>
    </w:p>
    <w:p w14:paraId="2DA585B1"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 xml:space="preserve">W tej sekcji, we wnioskach dotyczących składu celnego, dodany zostanie atrybut „Wspólne składowanie towarów” typu </w:t>
      </w:r>
      <w:proofErr w:type="spellStart"/>
      <w:r w:rsidRPr="00266C2A">
        <w:rPr>
          <w:rFonts w:ascii="Lato" w:hAnsi="Lato" w:cstheme="minorHAnsi"/>
          <w:lang w:eastAsia="pl-PL"/>
        </w:rPr>
        <w:t>boolean</w:t>
      </w:r>
      <w:proofErr w:type="spellEnd"/>
      <w:r w:rsidRPr="00266C2A">
        <w:rPr>
          <w:rFonts w:ascii="Lato" w:hAnsi="Lato" w:cstheme="minorHAnsi"/>
          <w:lang w:eastAsia="pl-PL"/>
        </w:rPr>
        <w:t xml:space="preserve">. Atrybut będzie wyświetlany na formularzu jako </w:t>
      </w:r>
      <w:proofErr w:type="spellStart"/>
      <w:r w:rsidRPr="00266C2A">
        <w:rPr>
          <w:rFonts w:ascii="Lato" w:hAnsi="Lato" w:cstheme="minorHAnsi"/>
          <w:lang w:eastAsia="pl-PL"/>
        </w:rPr>
        <w:t>check-box</w:t>
      </w:r>
      <w:proofErr w:type="spellEnd"/>
      <w:r w:rsidRPr="00266C2A">
        <w:rPr>
          <w:rFonts w:ascii="Lato" w:hAnsi="Lato" w:cstheme="minorHAnsi"/>
          <w:lang w:eastAsia="pl-PL"/>
        </w:rPr>
        <w:t>, jeżeli „Czy w miejscu składowym będą składowane towary unijne?” = „Tak” (wymagana zmiana w schemacie komunikatu XML).</w:t>
      </w:r>
    </w:p>
    <w:p w14:paraId="42069917"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Zmieniona zostanie wymagalność sekcji:</w:t>
      </w:r>
    </w:p>
    <w:p w14:paraId="122BCD44" w14:textId="77777777" w:rsidR="008C7DAD" w:rsidRPr="00266C2A" w:rsidRDefault="008C7DAD" w:rsidP="00944935">
      <w:pPr>
        <w:pStyle w:val="Akapitzlist"/>
        <w:widowControl w:val="0"/>
        <w:numPr>
          <w:ilvl w:val="1"/>
          <w:numId w:val="20"/>
        </w:numPr>
        <w:spacing w:before="120" w:after="120"/>
        <w:rPr>
          <w:rFonts w:ascii="Lato" w:hAnsi="Lato" w:cstheme="minorHAnsi"/>
        </w:rPr>
      </w:pPr>
      <w:r w:rsidRPr="00266C2A">
        <w:rPr>
          <w:rFonts w:ascii="Lato" w:hAnsi="Lato" w:cstheme="minorHAnsi"/>
        </w:rPr>
        <w:t>Sekcja obligatoryjna, dostępna do edycji, gdy Rodzaj wniosku = „1” (Pierwszy wniosek) oraz gdy Rodzaj wniosku = „2” (Wniosek w sprawie zmiany decyzji – w tym przypadku pole „</w:t>
      </w:r>
      <w:r w:rsidRPr="00266C2A">
        <w:rPr>
          <w:rStyle w:val="xforms-label"/>
          <w:rFonts w:ascii="Lato" w:hAnsi="Lato" w:cstheme="minorHAnsi"/>
        </w:rPr>
        <w:t>Czy w miejscu składowym będą składowane towary unijne?</w:t>
      </w:r>
      <w:r w:rsidRPr="00266C2A">
        <w:rPr>
          <w:rFonts w:ascii="Lato" w:hAnsi="Lato" w:cstheme="minorHAnsi"/>
        </w:rPr>
        <w:t>” będzie inicjowany z PDR).</w:t>
      </w:r>
    </w:p>
    <w:p w14:paraId="356E6F3D" w14:textId="77777777" w:rsidR="008C7DAD" w:rsidRPr="00266C2A" w:rsidRDefault="008C7DAD" w:rsidP="00944935">
      <w:pPr>
        <w:pStyle w:val="Akapitzlist"/>
        <w:widowControl w:val="0"/>
        <w:numPr>
          <w:ilvl w:val="1"/>
          <w:numId w:val="20"/>
        </w:numPr>
        <w:spacing w:before="120" w:after="120"/>
        <w:rPr>
          <w:rFonts w:ascii="Lato" w:hAnsi="Lato" w:cstheme="minorHAnsi"/>
        </w:rPr>
      </w:pPr>
      <w:r w:rsidRPr="00266C2A">
        <w:rPr>
          <w:rFonts w:ascii="Lato" w:hAnsi="Lato" w:cstheme="minorHAnsi"/>
        </w:rPr>
        <w:t>Niedostępna (niewyświetlana na formularzu), gdy Rodzaj wniosku = „4” (Wniosek w sprawie cofnięcia decyzji).</w:t>
      </w:r>
    </w:p>
    <w:p w14:paraId="7FE25BA3" w14:textId="77777777" w:rsidR="008C7DAD" w:rsidRPr="00266C2A" w:rsidRDefault="008C7DAD" w:rsidP="00955463">
      <w:pPr>
        <w:pStyle w:val="Akapitzlist"/>
        <w:widowControl w:val="0"/>
        <w:numPr>
          <w:ilvl w:val="1"/>
          <w:numId w:val="16"/>
        </w:numPr>
        <w:spacing w:before="120" w:after="120"/>
        <w:rPr>
          <w:rFonts w:ascii="Lato" w:hAnsi="Lato" w:cstheme="minorHAnsi"/>
          <w:b/>
          <w:bCs/>
        </w:rPr>
      </w:pPr>
      <w:r w:rsidRPr="00266C2A">
        <w:rPr>
          <w:rFonts w:ascii="Lato" w:hAnsi="Lato" w:cstheme="minorHAnsi"/>
        </w:rPr>
        <w:t>Zmiany w sekcji  „WSKAŹNIK STRAT” (element /</w:t>
      </w:r>
      <w:proofErr w:type="spellStart"/>
      <w:r w:rsidRPr="00266C2A">
        <w:rPr>
          <w:rFonts w:ascii="Lato" w:hAnsi="Lato" w:cstheme="minorHAnsi"/>
        </w:rPr>
        <w:t>WskaznikStrat</w:t>
      </w:r>
      <w:proofErr w:type="spellEnd"/>
      <w:r w:rsidRPr="00266C2A">
        <w:rPr>
          <w:rFonts w:ascii="Lato" w:hAnsi="Lato" w:cstheme="minorHAnsi"/>
        </w:rPr>
        <w:t xml:space="preserve">) - </w:t>
      </w:r>
      <w:r w:rsidRPr="00266C2A">
        <w:rPr>
          <w:rFonts w:ascii="Lato" w:hAnsi="Lato" w:cstheme="minorHAnsi"/>
          <w:b/>
          <w:bCs/>
        </w:rPr>
        <w:t>dotyczy wniosków CWP, CW1, CW2</w:t>
      </w:r>
    </w:p>
    <w:p w14:paraId="29E27E5E" w14:textId="77777777" w:rsidR="008C7DAD" w:rsidRPr="00266C2A" w:rsidRDefault="008C7DAD" w:rsidP="004B450E">
      <w:pPr>
        <w:widowControl w:val="0"/>
        <w:spacing w:before="120" w:after="120" w:line="240" w:lineRule="auto"/>
        <w:ind w:left="720"/>
        <w:rPr>
          <w:rFonts w:ascii="Lato" w:hAnsi="Lato" w:cstheme="minorHAnsi"/>
          <w:sz w:val="24"/>
          <w:szCs w:val="24"/>
        </w:rPr>
      </w:pPr>
      <w:r w:rsidRPr="00266C2A">
        <w:rPr>
          <w:rFonts w:ascii="Lato" w:hAnsi="Lato" w:cstheme="minorHAnsi"/>
          <w:sz w:val="24"/>
          <w:szCs w:val="24"/>
        </w:rPr>
        <w:t>Zmieniona zostanie wymagalność sekcji:</w:t>
      </w:r>
    </w:p>
    <w:p w14:paraId="7116A341" w14:textId="77777777" w:rsidR="008C7DAD" w:rsidRPr="00266C2A" w:rsidRDefault="008C7DAD" w:rsidP="00944935">
      <w:pPr>
        <w:pStyle w:val="Akapitzlist"/>
        <w:widowControl w:val="0"/>
        <w:numPr>
          <w:ilvl w:val="1"/>
          <w:numId w:val="21"/>
        </w:numPr>
        <w:spacing w:before="120" w:after="120"/>
        <w:rPr>
          <w:rFonts w:ascii="Lato" w:hAnsi="Lato" w:cstheme="minorHAnsi"/>
          <w:lang w:eastAsia="pl-PL"/>
        </w:rPr>
      </w:pPr>
      <w:r w:rsidRPr="00266C2A">
        <w:rPr>
          <w:rFonts w:ascii="Lato" w:hAnsi="Lato" w:cstheme="minorHAnsi"/>
          <w:lang w:eastAsia="pl-PL"/>
        </w:rPr>
        <w:t xml:space="preserve">Sekcja opcjonalna, dostępna do edycji, gdy Rodzaj wniosku = „1” (Pierwszy wniosek) oraz gdy Rodzaj wniosku = „2” (Wniosek w sprawie zmiany decyzji) </w:t>
      </w:r>
    </w:p>
    <w:p w14:paraId="0C81DCEB" w14:textId="77777777" w:rsidR="008C7DAD" w:rsidRPr="00266C2A" w:rsidRDefault="008C7DAD" w:rsidP="00944935">
      <w:pPr>
        <w:pStyle w:val="Akapitzlist"/>
        <w:widowControl w:val="0"/>
        <w:numPr>
          <w:ilvl w:val="1"/>
          <w:numId w:val="21"/>
        </w:numPr>
        <w:spacing w:before="120" w:after="120"/>
        <w:rPr>
          <w:rFonts w:ascii="Lato" w:hAnsi="Lato" w:cstheme="minorHAnsi"/>
          <w:lang w:eastAsia="pl-PL"/>
        </w:rPr>
      </w:pPr>
      <w:r w:rsidRPr="00266C2A">
        <w:rPr>
          <w:rFonts w:ascii="Lato" w:hAnsi="Lato" w:cstheme="minorHAnsi"/>
          <w:lang w:eastAsia="pl-PL"/>
        </w:rPr>
        <w:t xml:space="preserve">Niedostępna (niewyświetlana na formularzu), gdy Rodzaj „4” (Wniosek w </w:t>
      </w:r>
      <w:r w:rsidRPr="00266C2A">
        <w:rPr>
          <w:rFonts w:ascii="Lato" w:hAnsi="Lato" w:cstheme="minorHAnsi"/>
          <w:lang w:eastAsia="pl-PL"/>
        </w:rPr>
        <w:lastRenderedPageBreak/>
        <w:t>sprawie cofnięcia decyzji).</w:t>
      </w:r>
    </w:p>
    <w:p w14:paraId="6CCD1ED9" w14:textId="77777777" w:rsidR="008C7DAD" w:rsidRPr="00266C2A" w:rsidRDefault="008C7DAD" w:rsidP="00955463">
      <w:pPr>
        <w:pStyle w:val="Akapitzlist"/>
        <w:widowControl w:val="0"/>
        <w:numPr>
          <w:ilvl w:val="1"/>
          <w:numId w:val="16"/>
        </w:numPr>
        <w:spacing w:before="120" w:after="120"/>
        <w:rPr>
          <w:rFonts w:ascii="Lato" w:hAnsi="Lato" w:cstheme="minorHAnsi"/>
        </w:rPr>
      </w:pPr>
      <w:r w:rsidRPr="00266C2A">
        <w:rPr>
          <w:rFonts w:ascii="Lato" w:hAnsi="Lato" w:cstheme="minorHAnsi"/>
        </w:rPr>
        <w:t xml:space="preserve">Zmiany w sekcji  „PRZENIESIENIE PRAW I OBOWIĄZKÓW” (element / </w:t>
      </w:r>
      <w:proofErr w:type="spellStart"/>
      <w:r w:rsidRPr="00266C2A">
        <w:rPr>
          <w:rFonts w:ascii="Lato" w:hAnsi="Lato" w:cstheme="minorHAnsi"/>
        </w:rPr>
        <w:t>PrzeniesieniePrawIObowiazkow</w:t>
      </w:r>
      <w:proofErr w:type="spellEnd"/>
      <w:r w:rsidRPr="00266C2A">
        <w:rPr>
          <w:rFonts w:ascii="Lato" w:hAnsi="Lato" w:cstheme="minorHAnsi"/>
        </w:rPr>
        <w:t xml:space="preserve"> ) - </w:t>
      </w:r>
      <w:r w:rsidRPr="00266C2A">
        <w:rPr>
          <w:rFonts w:ascii="Lato" w:hAnsi="Lato" w:cstheme="minorHAnsi"/>
          <w:b/>
          <w:bCs/>
        </w:rPr>
        <w:t>dotyczy wniosków CWP, CW1, CW2</w:t>
      </w:r>
    </w:p>
    <w:p w14:paraId="14255B27"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Startowo w tej sekcji będzie wyświetlane tylko pytanie „Czy wniosek o przeniesienie praw i obowiązków?”</w:t>
      </w:r>
    </w:p>
    <w:p w14:paraId="7826A56E" w14:textId="77777777" w:rsidR="008C7DAD" w:rsidRPr="00266C2A" w:rsidRDefault="008C7DAD" w:rsidP="00944935">
      <w:pPr>
        <w:pStyle w:val="Akapitzlist"/>
        <w:widowControl w:val="0"/>
        <w:numPr>
          <w:ilvl w:val="1"/>
          <w:numId w:val="22"/>
        </w:numPr>
        <w:spacing w:before="120" w:after="120"/>
        <w:rPr>
          <w:rFonts w:ascii="Lato" w:hAnsi="Lato" w:cstheme="minorHAnsi"/>
        </w:rPr>
      </w:pPr>
      <w:r w:rsidRPr="00266C2A">
        <w:rPr>
          <w:rFonts w:ascii="Lato" w:hAnsi="Lato" w:cstheme="minorHAnsi"/>
        </w:rPr>
        <w:t>Jeżeli wybrano „Tak”,  to udostępniana będzie podsekcja zawierająca powielarne pola: „EORI” oraz „Opis” (oba pola obligatoryjne) – konieczna modyfikacja struktury komunikatu XML. Wymagane będzie podanie przynajmniej jednej pozycji. Dla pola EORI zostanie wprowadzony mechanizm weryfikacji, czy w słowniku 4003V1 istnieje aktywny podmiot o podanym EORI.</w:t>
      </w:r>
    </w:p>
    <w:p w14:paraId="7DA56AFD" w14:textId="77777777" w:rsidR="008C7DAD" w:rsidRPr="00266C2A" w:rsidRDefault="008C7DAD" w:rsidP="00944935">
      <w:pPr>
        <w:pStyle w:val="Akapitzlist"/>
        <w:widowControl w:val="0"/>
        <w:numPr>
          <w:ilvl w:val="1"/>
          <w:numId w:val="22"/>
        </w:numPr>
        <w:spacing w:before="120" w:after="120"/>
        <w:rPr>
          <w:rFonts w:ascii="Lato" w:hAnsi="Lato" w:cstheme="minorHAnsi"/>
        </w:rPr>
      </w:pPr>
      <w:r w:rsidRPr="00266C2A">
        <w:rPr>
          <w:rFonts w:ascii="Lato" w:hAnsi="Lato" w:cstheme="minorHAnsi"/>
        </w:rPr>
        <w:t>Jeżeli wybrano „Nie” (wartość domyślna), to żadne inne pola w tej sekcji nie będą wyświetlane.</w:t>
      </w:r>
    </w:p>
    <w:p w14:paraId="4E0659D4"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Zmieniona zostanie wymagalność sekcji:</w:t>
      </w:r>
    </w:p>
    <w:p w14:paraId="64B105D6" w14:textId="77777777" w:rsidR="008C7DAD" w:rsidRPr="00266C2A" w:rsidRDefault="008C7DAD" w:rsidP="00944935">
      <w:pPr>
        <w:pStyle w:val="Akapitzlist"/>
        <w:widowControl w:val="0"/>
        <w:numPr>
          <w:ilvl w:val="1"/>
          <w:numId w:val="23"/>
        </w:numPr>
        <w:spacing w:before="120" w:after="120"/>
        <w:rPr>
          <w:rFonts w:ascii="Lato" w:hAnsi="Lato" w:cstheme="minorHAnsi"/>
        </w:rPr>
      </w:pPr>
      <w:r w:rsidRPr="00266C2A">
        <w:rPr>
          <w:rFonts w:ascii="Lato" w:hAnsi="Lato" w:cstheme="minorHAnsi"/>
          <w:lang w:eastAsia="pl-PL"/>
        </w:rPr>
        <w:t xml:space="preserve">Sekcja </w:t>
      </w:r>
      <w:r w:rsidRPr="00266C2A">
        <w:rPr>
          <w:rFonts w:ascii="Lato" w:hAnsi="Lato" w:cstheme="minorHAnsi"/>
        </w:rPr>
        <w:t>wymagana gdy Rodzaj wniosku = „1” (Pierwszy wniosek) oraz gdy Rodzaj wniosku = „2” (Wniosek w sprawie zmiany decyzji) – dane nie są zapisywane do PDR</w:t>
      </w:r>
    </w:p>
    <w:p w14:paraId="7639CB30" w14:textId="77777777" w:rsidR="008C7DAD" w:rsidRPr="00266C2A" w:rsidRDefault="008C7DAD" w:rsidP="00944935">
      <w:pPr>
        <w:pStyle w:val="Akapitzlist"/>
        <w:widowControl w:val="0"/>
        <w:numPr>
          <w:ilvl w:val="1"/>
          <w:numId w:val="23"/>
        </w:numPr>
        <w:spacing w:before="120" w:after="120"/>
        <w:rPr>
          <w:rFonts w:ascii="Lato" w:hAnsi="Lato" w:cstheme="minorHAnsi"/>
          <w:lang w:eastAsia="pl-PL"/>
        </w:rPr>
      </w:pPr>
      <w:r w:rsidRPr="00266C2A">
        <w:rPr>
          <w:rFonts w:ascii="Lato" w:hAnsi="Lato" w:cstheme="minorHAnsi"/>
        </w:rPr>
        <w:t>Niedostępna (niewyświetlana na formularzu), gdy Rodzaj wniosku = „4” (Wniosek w sprawie cofnięcia decyzji</w:t>
      </w:r>
      <w:r w:rsidRPr="00266C2A">
        <w:rPr>
          <w:rFonts w:ascii="Lato" w:hAnsi="Lato" w:cstheme="minorHAnsi"/>
          <w:lang w:eastAsia="pl-PL"/>
        </w:rPr>
        <w:t>).</w:t>
      </w:r>
    </w:p>
    <w:p w14:paraId="6531479D" w14:textId="77777777" w:rsidR="008C7DAD" w:rsidRPr="00266C2A" w:rsidRDefault="008C7DAD" w:rsidP="00955463">
      <w:pPr>
        <w:pStyle w:val="Akapitzlist"/>
        <w:widowControl w:val="0"/>
        <w:numPr>
          <w:ilvl w:val="1"/>
          <w:numId w:val="16"/>
        </w:numPr>
        <w:spacing w:before="120" w:after="120"/>
        <w:rPr>
          <w:rFonts w:ascii="Lato" w:hAnsi="Lato" w:cstheme="minorHAnsi"/>
        </w:rPr>
      </w:pPr>
      <w:r w:rsidRPr="00266C2A">
        <w:rPr>
          <w:rFonts w:ascii="Lato" w:hAnsi="Lato" w:cstheme="minorHAnsi"/>
        </w:rPr>
        <w:t xml:space="preserve">Zmiany w sekcji  „ZGODA NA PUBLIKACJĘ W WYKAZIE  POSIADACZY POZWOLEŃ” (element / </w:t>
      </w:r>
      <w:proofErr w:type="spellStart"/>
      <w:r w:rsidRPr="00266C2A">
        <w:rPr>
          <w:rFonts w:ascii="Lato" w:hAnsi="Lato" w:cstheme="minorHAnsi"/>
        </w:rPr>
        <w:t>ZgodaNaPublikacje</w:t>
      </w:r>
      <w:proofErr w:type="spellEnd"/>
      <w:r w:rsidRPr="00266C2A">
        <w:rPr>
          <w:rFonts w:ascii="Lato" w:hAnsi="Lato" w:cstheme="minorHAnsi"/>
        </w:rPr>
        <w:t>)</w:t>
      </w:r>
    </w:p>
    <w:p w14:paraId="2E9549EC" w14:textId="77777777" w:rsidR="008C7DAD" w:rsidRPr="00266C2A" w:rsidRDefault="008C7DAD" w:rsidP="004B450E">
      <w:pPr>
        <w:pStyle w:val="Akapitzlist"/>
        <w:widowControl w:val="0"/>
        <w:numPr>
          <w:ilvl w:val="0"/>
          <w:numId w:val="10"/>
        </w:numPr>
        <w:tabs>
          <w:tab w:val="left" w:pos="709"/>
        </w:tabs>
        <w:spacing w:before="120" w:after="120"/>
        <w:rPr>
          <w:rFonts w:ascii="Lato" w:hAnsi="Lato" w:cstheme="minorHAnsi"/>
          <w:lang w:eastAsia="pl-PL"/>
        </w:rPr>
      </w:pPr>
      <w:r w:rsidRPr="00266C2A">
        <w:rPr>
          <w:rFonts w:ascii="Lato" w:hAnsi="Lato" w:cstheme="minorHAnsi"/>
          <w:lang w:eastAsia="pl-PL"/>
        </w:rPr>
        <w:t>Zmieniona zostanie wymagalność sekcji:</w:t>
      </w:r>
    </w:p>
    <w:p w14:paraId="3041AE30" w14:textId="77777777" w:rsidR="008C7DAD" w:rsidRPr="00266C2A" w:rsidRDefault="008C7DAD" w:rsidP="00944935">
      <w:pPr>
        <w:pStyle w:val="Akapitzlist"/>
        <w:widowControl w:val="0"/>
        <w:numPr>
          <w:ilvl w:val="1"/>
          <w:numId w:val="24"/>
        </w:numPr>
        <w:spacing w:before="120" w:after="120"/>
        <w:rPr>
          <w:rFonts w:ascii="Lato" w:hAnsi="Lato" w:cstheme="minorHAnsi"/>
          <w:lang w:eastAsia="pl-PL"/>
        </w:rPr>
      </w:pPr>
      <w:r w:rsidRPr="00266C2A">
        <w:rPr>
          <w:rFonts w:ascii="Lato" w:hAnsi="Lato" w:cstheme="minorHAnsi"/>
          <w:lang w:eastAsia="pl-PL"/>
        </w:rPr>
        <w:t xml:space="preserve">Sekcja wymagana, gdy Rodzaj wniosku = „1” (Pierwszy wniosek) </w:t>
      </w:r>
    </w:p>
    <w:p w14:paraId="62C43DE7" w14:textId="77777777" w:rsidR="008C7DAD" w:rsidRPr="00266C2A" w:rsidRDefault="008C7DAD" w:rsidP="00944935">
      <w:pPr>
        <w:pStyle w:val="Akapitzlist"/>
        <w:widowControl w:val="0"/>
        <w:numPr>
          <w:ilvl w:val="1"/>
          <w:numId w:val="24"/>
        </w:numPr>
        <w:spacing w:before="120" w:after="120"/>
        <w:rPr>
          <w:rFonts w:ascii="Lato" w:hAnsi="Lato" w:cstheme="minorHAnsi"/>
          <w:lang w:eastAsia="pl-PL"/>
        </w:rPr>
      </w:pPr>
      <w:r w:rsidRPr="00266C2A">
        <w:rPr>
          <w:rFonts w:ascii="Lato" w:hAnsi="Lato" w:cstheme="minorHAnsi"/>
          <w:lang w:eastAsia="pl-PL"/>
        </w:rPr>
        <w:t>Niedostępna (niewyświetlana na formularzu), gdy Rodzaj wniosku = „2” (Wniosek w sprawie zmiany decyzji) lub  „4” (Wniosek w sprawie cofnięcia decyzji).</w:t>
      </w:r>
    </w:p>
    <w:p w14:paraId="7AB59B89" w14:textId="77777777" w:rsidR="008C7DAD" w:rsidRPr="00266C2A" w:rsidRDefault="008C7DAD" w:rsidP="00955463">
      <w:pPr>
        <w:pStyle w:val="Akapitzlist"/>
        <w:widowControl w:val="0"/>
        <w:numPr>
          <w:ilvl w:val="1"/>
          <w:numId w:val="16"/>
        </w:numPr>
        <w:spacing w:before="120" w:after="120"/>
        <w:rPr>
          <w:rFonts w:ascii="Lato" w:hAnsi="Lato" w:cstheme="minorHAnsi"/>
        </w:rPr>
      </w:pPr>
      <w:r w:rsidRPr="00266C2A">
        <w:rPr>
          <w:rFonts w:ascii="Lato" w:hAnsi="Lato" w:cstheme="minorHAnsi"/>
        </w:rPr>
        <w:t xml:space="preserve">Zmiany w sekcji „DODATKOWE INFORMACJE” (element / </w:t>
      </w:r>
      <w:proofErr w:type="spellStart"/>
      <w:r w:rsidRPr="00266C2A">
        <w:rPr>
          <w:rFonts w:ascii="Lato" w:hAnsi="Lato" w:cstheme="minorHAnsi"/>
        </w:rPr>
        <w:t>InformacjaDodatkowa</w:t>
      </w:r>
      <w:proofErr w:type="spellEnd"/>
      <w:r w:rsidRPr="00266C2A">
        <w:rPr>
          <w:rFonts w:ascii="Lato" w:hAnsi="Lato" w:cstheme="minorHAnsi"/>
        </w:rPr>
        <w:t>)</w:t>
      </w:r>
    </w:p>
    <w:p w14:paraId="241CE0DD" w14:textId="77777777" w:rsidR="008C7DAD" w:rsidRPr="00266C2A" w:rsidRDefault="008C7DAD" w:rsidP="004B450E">
      <w:pPr>
        <w:widowControl w:val="0"/>
        <w:spacing w:before="120" w:after="120" w:line="240" w:lineRule="auto"/>
        <w:ind w:left="714"/>
        <w:rPr>
          <w:rFonts w:ascii="Lato" w:hAnsi="Lato" w:cstheme="minorHAnsi"/>
          <w:sz w:val="24"/>
          <w:szCs w:val="24"/>
          <w:lang w:eastAsia="pl-PL"/>
        </w:rPr>
      </w:pPr>
      <w:r w:rsidRPr="00266C2A">
        <w:rPr>
          <w:rFonts w:ascii="Lato" w:hAnsi="Lato" w:cstheme="minorHAnsi"/>
          <w:sz w:val="24"/>
          <w:szCs w:val="24"/>
          <w:lang w:eastAsia="pl-PL"/>
        </w:rPr>
        <w:t>Pole „Tekst informacji dodatkowej” będzie domyślnie rozwinięte, opcjonalne do wypełnienia, bez przycisków [Dodaj]” i „[Usuń]”.</w:t>
      </w:r>
    </w:p>
    <w:p w14:paraId="1847A4D2" w14:textId="77777777" w:rsidR="008C7DAD" w:rsidRPr="00266C2A" w:rsidRDefault="008C7DAD" w:rsidP="004B450E">
      <w:pPr>
        <w:pStyle w:val="Akapitzlist"/>
        <w:widowControl w:val="0"/>
        <w:numPr>
          <w:ilvl w:val="0"/>
          <w:numId w:val="12"/>
        </w:numPr>
        <w:tabs>
          <w:tab w:val="left" w:pos="709"/>
        </w:tabs>
        <w:spacing w:before="120" w:after="120"/>
        <w:rPr>
          <w:rFonts w:ascii="Lato" w:hAnsi="Lato" w:cstheme="minorHAnsi"/>
          <w:b/>
          <w:bCs/>
          <w:lang w:eastAsia="pl-PL"/>
        </w:rPr>
      </w:pPr>
      <w:r w:rsidRPr="00266C2A">
        <w:rPr>
          <w:rFonts w:ascii="Lato" w:hAnsi="Lato" w:cstheme="minorHAnsi"/>
          <w:b/>
          <w:bCs/>
          <w:lang w:eastAsia="pl-PL"/>
        </w:rPr>
        <w:t>Szczegółowa lista zmian w aplikacji SZPROT e-Decyzje</w:t>
      </w:r>
    </w:p>
    <w:p w14:paraId="583972E5" w14:textId="5C4D8EA4" w:rsidR="008C7DAD" w:rsidRPr="00266C2A" w:rsidRDefault="008C7DAD" w:rsidP="00944935">
      <w:pPr>
        <w:pStyle w:val="Akapitzlist"/>
        <w:widowControl w:val="0"/>
        <w:numPr>
          <w:ilvl w:val="1"/>
          <w:numId w:val="12"/>
        </w:numPr>
        <w:tabs>
          <w:tab w:val="left" w:pos="709"/>
        </w:tabs>
        <w:spacing w:before="120" w:after="120"/>
        <w:ind w:hanging="430"/>
        <w:rPr>
          <w:rFonts w:ascii="Lato" w:hAnsi="Lato" w:cstheme="minorHAnsi"/>
          <w:b/>
          <w:bCs/>
          <w:lang w:eastAsia="pl-PL"/>
        </w:rPr>
      </w:pPr>
      <w:r w:rsidRPr="00266C2A">
        <w:rPr>
          <w:rFonts w:ascii="Lato" w:hAnsi="Lato" w:cstheme="minorHAnsi"/>
          <w:lang w:eastAsia="pl-PL"/>
        </w:rPr>
        <w:t xml:space="preserve">We wszystkich w/w formularzach danych sprawy należy dostosować zawartość sekcji adresowych </w:t>
      </w:r>
    </w:p>
    <w:p w14:paraId="2EF9A4D7" w14:textId="26661793" w:rsidR="008C7DAD" w:rsidRPr="00266C2A" w:rsidRDefault="008C7DAD" w:rsidP="004B450E">
      <w:pPr>
        <w:pStyle w:val="Akapitzlist"/>
        <w:widowControl w:val="0"/>
        <w:numPr>
          <w:ilvl w:val="1"/>
          <w:numId w:val="12"/>
        </w:numPr>
        <w:tabs>
          <w:tab w:val="left" w:pos="709"/>
        </w:tabs>
        <w:spacing w:before="120" w:after="120"/>
        <w:rPr>
          <w:rFonts w:ascii="Lato" w:hAnsi="Lato" w:cstheme="minorHAnsi"/>
          <w:lang w:eastAsia="pl-PL"/>
        </w:rPr>
      </w:pPr>
      <w:r w:rsidRPr="00266C2A">
        <w:rPr>
          <w:rFonts w:ascii="Lato" w:hAnsi="Lato" w:cstheme="minorHAnsi"/>
          <w:lang w:eastAsia="pl-PL"/>
        </w:rPr>
        <w:t xml:space="preserve">Pole „DANE OGÓLNE </w:t>
      </w:r>
      <w:proofErr w:type="spellStart"/>
      <w:r w:rsidRPr="00266C2A">
        <w:rPr>
          <w:rFonts w:ascii="Lato" w:hAnsi="Lato" w:cstheme="minorHAnsi"/>
          <w:lang w:eastAsia="pl-PL"/>
        </w:rPr>
        <w:t>WNIOSKU.Kod</w:t>
      </w:r>
      <w:proofErr w:type="spellEnd"/>
      <w:r w:rsidRPr="00266C2A">
        <w:rPr>
          <w:rFonts w:ascii="Lato" w:hAnsi="Lato" w:cstheme="minorHAnsi"/>
          <w:lang w:eastAsia="pl-PL"/>
        </w:rPr>
        <w:t xml:space="preserve"> geograficznego obszaru ważności” będzie zawierało stały opis: „</w:t>
      </w:r>
      <w:r w:rsidRPr="00266C2A">
        <w:rPr>
          <w:rFonts w:ascii="Lato" w:hAnsi="Lato" w:cstheme="minorHAnsi"/>
          <w:i/>
          <w:iCs/>
          <w:lang w:eastAsia="pl-PL"/>
        </w:rPr>
        <w:t>3 – wniosek lub pozwolenie ograniczone do jednego państwa członkowskiego</w:t>
      </w:r>
      <w:r w:rsidRPr="00266C2A">
        <w:rPr>
          <w:rFonts w:ascii="Lato" w:hAnsi="Lato" w:cstheme="minorHAnsi"/>
          <w:lang w:eastAsia="pl-PL"/>
        </w:rPr>
        <w:t>” (analogicznie jak ustalono dla formularza PUESC), pole pozostaje niedostępne do edycji.</w:t>
      </w:r>
    </w:p>
    <w:p w14:paraId="37D2BF16" w14:textId="77777777" w:rsidR="008C7DAD" w:rsidRPr="00266C2A" w:rsidRDefault="008C7DAD" w:rsidP="004B450E">
      <w:pPr>
        <w:pStyle w:val="Akapitzlist"/>
        <w:widowControl w:val="0"/>
        <w:numPr>
          <w:ilvl w:val="1"/>
          <w:numId w:val="12"/>
        </w:numPr>
        <w:spacing w:before="120" w:after="120"/>
        <w:rPr>
          <w:rFonts w:ascii="Lato" w:hAnsi="Lato" w:cstheme="minorHAnsi"/>
          <w:lang w:eastAsia="pl-PL"/>
        </w:rPr>
      </w:pPr>
      <w:r w:rsidRPr="00266C2A">
        <w:rPr>
          <w:rFonts w:ascii="Lato" w:hAnsi="Lato" w:cstheme="minorHAnsi"/>
          <w:lang w:eastAsia="pl-PL"/>
        </w:rPr>
        <w:t>Zmiany w procesie BP.320 (obsługa procedur specjalnych):</w:t>
      </w:r>
    </w:p>
    <w:p w14:paraId="2AF97F8B" w14:textId="77777777" w:rsidR="008C7DAD" w:rsidRPr="00266C2A" w:rsidRDefault="008C7DAD" w:rsidP="004B450E">
      <w:pPr>
        <w:pStyle w:val="Akapitzlist"/>
        <w:widowControl w:val="0"/>
        <w:numPr>
          <w:ilvl w:val="2"/>
          <w:numId w:val="12"/>
        </w:numPr>
        <w:spacing w:before="120" w:after="120"/>
        <w:rPr>
          <w:rFonts w:ascii="Lato" w:hAnsi="Lato" w:cstheme="minorHAnsi"/>
          <w:lang w:eastAsia="pl-PL"/>
        </w:rPr>
      </w:pPr>
      <w:r w:rsidRPr="00266C2A">
        <w:rPr>
          <w:rFonts w:ascii="Lato" w:hAnsi="Lato" w:cstheme="minorHAnsi"/>
          <w:lang w:eastAsia="pl-PL"/>
        </w:rPr>
        <w:t>Dokument „Informacja o przyjęciu wniosku”, tworzony w procesie BP.024, w kroku 220:</w:t>
      </w:r>
    </w:p>
    <w:p w14:paraId="409EB516" w14:textId="77777777" w:rsidR="008C7DAD" w:rsidRPr="00266C2A" w:rsidRDefault="008C7DAD" w:rsidP="004B450E">
      <w:pPr>
        <w:pStyle w:val="Akapitzlist"/>
        <w:widowControl w:val="0"/>
        <w:numPr>
          <w:ilvl w:val="1"/>
          <w:numId w:val="10"/>
        </w:numPr>
        <w:tabs>
          <w:tab w:val="left" w:pos="709"/>
        </w:tabs>
        <w:spacing w:before="120" w:after="120"/>
        <w:rPr>
          <w:rFonts w:ascii="Lato" w:hAnsi="Lato" w:cstheme="minorHAnsi"/>
          <w:lang w:eastAsia="pl-PL"/>
        </w:rPr>
      </w:pPr>
      <w:r w:rsidRPr="00266C2A">
        <w:rPr>
          <w:rFonts w:ascii="Lato" w:hAnsi="Lato" w:cstheme="minorHAnsi"/>
          <w:lang w:eastAsia="pl-PL"/>
        </w:rPr>
        <w:lastRenderedPageBreak/>
        <w:t xml:space="preserve">będzie generowany zawsze automatycznie (bez edycji użytkownika – analogicznie, jak dla przyjęcia automatycznego – patrz krok </w:t>
      </w:r>
      <w:r w:rsidRPr="00266C2A">
        <w:rPr>
          <w:rFonts w:ascii="Lato" w:hAnsi="Lato" w:cstheme="minorHAnsi"/>
          <w:i/>
          <w:iCs/>
          <w:lang w:eastAsia="pl-PL"/>
        </w:rPr>
        <w:t>040 Przygotuj informację o przyjęciu wniosku</w:t>
      </w:r>
      <w:r w:rsidRPr="00266C2A">
        <w:rPr>
          <w:rFonts w:ascii="Lato" w:hAnsi="Lato" w:cstheme="minorHAnsi"/>
          <w:lang w:eastAsia="pl-PL"/>
        </w:rPr>
        <w:t>)</w:t>
      </w:r>
    </w:p>
    <w:p w14:paraId="2395F2AC" w14:textId="77777777" w:rsidR="008C7DAD" w:rsidRPr="00266C2A" w:rsidRDefault="008C7DAD" w:rsidP="004B450E">
      <w:pPr>
        <w:pStyle w:val="Akapitzlist"/>
        <w:widowControl w:val="0"/>
        <w:numPr>
          <w:ilvl w:val="1"/>
          <w:numId w:val="10"/>
        </w:numPr>
        <w:tabs>
          <w:tab w:val="left" w:pos="709"/>
        </w:tabs>
        <w:spacing w:before="120" w:after="120"/>
        <w:rPr>
          <w:rFonts w:ascii="Lato" w:hAnsi="Lato" w:cstheme="minorHAnsi"/>
          <w:lang w:eastAsia="pl-PL"/>
        </w:rPr>
      </w:pPr>
      <w:r w:rsidRPr="00266C2A">
        <w:rPr>
          <w:rFonts w:ascii="Lato" w:hAnsi="Lato" w:cstheme="minorHAnsi"/>
          <w:lang w:eastAsia="pl-PL"/>
        </w:rPr>
        <w:t xml:space="preserve">będzie wysyłany do SEAP zgodnie z kontekstem, z którego wysłano wniosek, bez potwierdzania odbioru </w:t>
      </w:r>
    </w:p>
    <w:p w14:paraId="4A8B769E" w14:textId="77777777" w:rsidR="008C7DAD" w:rsidRPr="00266C2A" w:rsidRDefault="008C7DAD" w:rsidP="004B450E">
      <w:pPr>
        <w:pStyle w:val="Akapitzlist"/>
        <w:widowControl w:val="0"/>
        <w:numPr>
          <w:ilvl w:val="1"/>
          <w:numId w:val="10"/>
        </w:numPr>
        <w:tabs>
          <w:tab w:val="left" w:pos="709"/>
        </w:tabs>
        <w:spacing w:before="120" w:after="120"/>
        <w:rPr>
          <w:rFonts w:ascii="Lato" w:hAnsi="Lato" w:cstheme="minorHAnsi"/>
        </w:rPr>
      </w:pPr>
      <w:r w:rsidRPr="00266C2A">
        <w:rPr>
          <w:rFonts w:ascii="Lato" w:hAnsi="Lato" w:cstheme="minorHAnsi"/>
          <w:lang w:eastAsia="pl-PL"/>
        </w:rPr>
        <w:t>nie będzie podpisywany, również elektroniczną pieczęcią urzędu.</w:t>
      </w:r>
    </w:p>
    <w:p w14:paraId="635265D6" w14:textId="4345E1B7" w:rsidR="008C7DAD" w:rsidRPr="00266C2A" w:rsidRDefault="008C7DAD" w:rsidP="004B450E">
      <w:pPr>
        <w:pStyle w:val="Akapitzlist"/>
        <w:widowControl w:val="0"/>
        <w:numPr>
          <w:ilvl w:val="2"/>
          <w:numId w:val="12"/>
        </w:numPr>
        <w:spacing w:before="120" w:after="120"/>
        <w:rPr>
          <w:rFonts w:ascii="Lato" w:hAnsi="Lato" w:cstheme="minorHAnsi"/>
          <w:lang w:eastAsia="pl-PL"/>
        </w:rPr>
      </w:pPr>
      <w:r w:rsidRPr="00266C2A">
        <w:rPr>
          <w:rFonts w:ascii="Lato" w:hAnsi="Lato" w:cstheme="minorHAnsi"/>
          <w:lang w:eastAsia="pl-PL"/>
        </w:rPr>
        <w:t xml:space="preserve">W kroku 170 Zadecyduj o przyjęciu lub odmowie przyjęcia wniosku należy dodać atrybut „Data przyjęcia”, inicjowany data bieżącą, do edycji. Od tej daty należy liczyć termin na wydanie decyzji (patrz </w:t>
      </w:r>
      <w:proofErr w:type="spellStart"/>
      <w:r w:rsidRPr="00266C2A">
        <w:rPr>
          <w:rFonts w:ascii="Lato" w:hAnsi="Lato" w:cstheme="minorHAnsi"/>
          <w:lang w:eastAsia="pl-PL"/>
        </w:rPr>
        <w:t>timer</w:t>
      </w:r>
      <w:proofErr w:type="spellEnd"/>
      <w:r w:rsidRPr="00266C2A">
        <w:rPr>
          <w:rFonts w:ascii="Lato" w:hAnsi="Lato" w:cstheme="minorHAnsi"/>
          <w:lang w:eastAsia="pl-PL"/>
        </w:rPr>
        <w:t xml:space="preserve"> 110 Czas na wydanie decyzji).</w:t>
      </w:r>
    </w:p>
    <w:p w14:paraId="6B19A5CC" w14:textId="77777777" w:rsidR="008C7DAD" w:rsidRPr="00266C2A" w:rsidRDefault="008C7DAD" w:rsidP="004B450E">
      <w:pPr>
        <w:pStyle w:val="Akapitzlist"/>
        <w:widowControl w:val="0"/>
        <w:numPr>
          <w:ilvl w:val="2"/>
          <w:numId w:val="12"/>
        </w:numPr>
        <w:spacing w:before="120" w:after="120"/>
        <w:rPr>
          <w:rFonts w:ascii="Lato" w:hAnsi="Lato" w:cstheme="minorHAnsi"/>
        </w:rPr>
      </w:pPr>
      <w:r w:rsidRPr="00266C2A">
        <w:rPr>
          <w:rFonts w:ascii="Lato" w:hAnsi="Lato" w:cstheme="minorHAnsi"/>
          <w:lang w:eastAsia="pl-PL"/>
        </w:rPr>
        <w:t xml:space="preserve"> Jeżeli wybrano rozstrzygnięcie pozytywne, a istnieją warunki i kryteria niezweryfikowane lub zweryfikowane z wynikiem negatywnym, to zostanie dodane ostrzeżenie dla użytkownika</w:t>
      </w:r>
      <w:r w:rsidRPr="00266C2A">
        <w:rPr>
          <w:rFonts w:ascii="Lato" w:hAnsi="Lato" w:cstheme="minorHAnsi"/>
        </w:rPr>
        <w:t>, bez blokady, tak aby możliwe było przejście dalej.</w:t>
      </w:r>
    </w:p>
    <w:p w14:paraId="0D8A5F7E" w14:textId="77777777" w:rsidR="008C7DAD" w:rsidRPr="00266C2A" w:rsidRDefault="008C7DAD" w:rsidP="004B450E">
      <w:pPr>
        <w:pStyle w:val="Akapitzlist"/>
        <w:widowControl w:val="0"/>
        <w:numPr>
          <w:ilvl w:val="1"/>
          <w:numId w:val="12"/>
        </w:numPr>
        <w:spacing w:before="120" w:after="120"/>
        <w:rPr>
          <w:rFonts w:ascii="Lato" w:hAnsi="Lato" w:cstheme="minorHAnsi"/>
        </w:rPr>
      </w:pPr>
      <w:r w:rsidRPr="00266C2A">
        <w:rPr>
          <w:rFonts w:ascii="Lato" w:hAnsi="Lato" w:cstheme="minorHAnsi"/>
          <w:lang w:eastAsia="pl-PL"/>
        </w:rPr>
        <w:t>Zmiany w obsłudze wydawanych decyzji (zadanie przygotowania rozstrzygnięcia)</w:t>
      </w:r>
    </w:p>
    <w:p w14:paraId="107E1B53" w14:textId="77777777" w:rsidR="008C7DAD" w:rsidRPr="00266C2A" w:rsidRDefault="008C7DAD" w:rsidP="004B450E">
      <w:pPr>
        <w:pStyle w:val="Akapitzlist"/>
        <w:widowControl w:val="0"/>
        <w:numPr>
          <w:ilvl w:val="2"/>
          <w:numId w:val="12"/>
        </w:numPr>
        <w:spacing w:before="120" w:after="120"/>
        <w:rPr>
          <w:rFonts w:ascii="Lato" w:hAnsi="Lato" w:cstheme="minorHAnsi"/>
          <w:lang w:eastAsia="pl-PL"/>
        </w:rPr>
      </w:pPr>
      <w:r w:rsidRPr="00266C2A">
        <w:rPr>
          <w:rFonts w:ascii="Lato" w:hAnsi="Lato" w:cstheme="minorHAnsi"/>
          <w:lang w:eastAsia="pl-PL"/>
        </w:rPr>
        <w:t>Inicjalnie wszystkie decyzje będą adresowane na SEAP, na ID SISC osoby przesyłającej wniosek, za potwierdzeniem odbioru.</w:t>
      </w:r>
    </w:p>
    <w:p w14:paraId="50EAFB9E" w14:textId="77777777" w:rsidR="008C7DAD" w:rsidRPr="00266C2A" w:rsidRDefault="008C7DAD" w:rsidP="004B450E">
      <w:pPr>
        <w:pStyle w:val="Akapitzlist"/>
        <w:widowControl w:val="0"/>
        <w:numPr>
          <w:ilvl w:val="2"/>
          <w:numId w:val="12"/>
        </w:numPr>
        <w:spacing w:before="120" w:after="120"/>
        <w:rPr>
          <w:rFonts w:ascii="Lato" w:hAnsi="Lato" w:cstheme="minorHAnsi"/>
          <w:lang w:eastAsia="pl-PL"/>
        </w:rPr>
      </w:pPr>
      <w:r w:rsidRPr="00266C2A">
        <w:rPr>
          <w:rFonts w:ascii="Lato" w:hAnsi="Lato" w:cstheme="minorHAnsi"/>
          <w:lang w:eastAsia="pl-PL"/>
        </w:rPr>
        <w:t xml:space="preserve">Trzeba skonfigurować nowe rodzaje decyzji – odrębne rodzaje dokumentów dla wydania pozwolenia, zmiany pozwolenia i cofnięcia pozwolenia. </w:t>
      </w:r>
    </w:p>
    <w:p w14:paraId="61C3CCA4" w14:textId="77777777" w:rsidR="008C7DAD" w:rsidRPr="00266C2A" w:rsidRDefault="008C7DAD" w:rsidP="004B450E">
      <w:pPr>
        <w:pStyle w:val="Akapitzlist"/>
        <w:widowControl w:val="0"/>
        <w:numPr>
          <w:ilvl w:val="2"/>
          <w:numId w:val="12"/>
        </w:numPr>
        <w:spacing w:before="120" w:after="120"/>
        <w:rPr>
          <w:rFonts w:ascii="Lato" w:hAnsi="Lato" w:cstheme="minorHAnsi"/>
          <w:lang w:eastAsia="pl-PL"/>
        </w:rPr>
      </w:pPr>
      <w:r w:rsidRPr="00266C2A">
        <w:rPr>
          <w:rFonts w:ascii="Lato" w:hAnsi="Lato" w:cstheme="minorHAnsi"/>
          <w:lang w:eastAsia="pl-PL"/>
        </w:rPr>
        <w:t>W formularzach decyzji należy zastosować zawartość danych adresowych uzgodnioną dla wniosków SEAP  (patrz punkt 1.2; dotyczy wszystkich sekcji adresowych).</w:t>
      </w:r>
    </w:p>
    <w:p w14:paraId="2F8E8D2A" w14:textId="77777777" w:rsidR="008C7DAD" w:rsidRPr="00266C2A" w:rsidRDefault="008C7DAD" w:rsidP="004B450E">
      <w:pPr>
        <w:pStyle w:val="Akapitzlist"/>
        <w:widowControl w:val="0"/>
        <w:numPr>
          <w:ilvl w:val="2"/>
          <w:numId w:val="12"/>
        </w:numPr>
        <w:spacing w:before="120" w:after="120"/>
        <w:rPr>
          <w:rFonts w:ascii="Lato" w:hAnsi="Lato" w:cstheme="minorHAnsi"/>
          <w:lang w:eastAsia="pl-PL"/>
        </w:rPr>
      </w:pPr>
      <w:r w:rsidRPr="00266C2A">
        <w:rPr>
          <w:rFonts w:ascii="Lato" w:hAnsi="Lato" w:cstheme="minorHAnsi"/>
          <w:lang w:eastAsia="pl-PL"/>
        </w:rPr>
        <w:t>Należy dostosowań zawartość decyzji do zmian we wprowadzonych we wnioskach (patrz punkt 1).</w:t>
      </w:r>
    </w:p>
    <w:p w14:paraId="0ACA5915" w14:textId="2A094CDF" w:rsidR="008C7DAD" w:rsidRPr="00266C2A" w:rsidRDefault="008C7DAD" w:rsidP="004B450E">
      <w:pPr>
        <w:pStyle w:val="Akapitzlist"/>
        <w:widowControl w:val="0"/>
        <w:numPr>
          <w:ilvl w:val="2"/>
          <w:numId w:val="12"/>
        </w:numPr>
        <w:spacing w:before="120" w:after="120"/>
        <w:rPr>
          <w:rFonts w:ascii="Lato" w:hAnsi="Lato" w:cstheme="minorHAnsi"/>
          <w:lang w:eastAsia="pl-PL"/>
        </w:rPr>
      </w:pPr>
      <w:r w:rsidRPr="00266C2A">
        <w:rPr>
          <w:rFonts w:ascii="Lato" w:hAnsi="Lato" w:cstheme="minorHAnsi"/>
          <w:lang w:eastAsia="pl-PL"/>
        </w:rPr>
        <w:t xml:space="preserve">Na wszystkich decyzjach lokalizacyjnych dodać w sekcji Dane ogólne decyzji pole „Data wydania”, pole dla nowego pozwolenia do edycji, </w:t>
      </w:r>
      <w:r w:rsidRPr="00266C2A">
        <w:rPr>
          <w:rFonts w:ascii="Lato" w:eastAsia="Times New Roman" w:hAnsi="Lato" w:cstheme="minorHAnsi"/>
        </w:rPr>
        <w:t>jeśli</w:t>
      </w:r>
      <w:r w:rsidRPr="00266C2A">
        <w:rPr>
          <w:rFonts w:ascii="Lato" w:hAnsi="Lato" w:cstheme="minorHAnsi"/>
          <w:lang w:eastAsia="pl-PL"/>
        </w:rPr>
        <w:t xml:space="preserve"> puste, to automatycznie wypełnione datą zakończenia kroku podpisania pozwolenia. Dana wysyłana w komunikacie do PDR4014V1 (modyfikacja </w:t>
      </w:r>
      <w:proofErr w:type="spellStart"/>
      <w:r w:rsidRPr="00266C2A">
        <w:rPr>
          <w:rFonts w:ascii="Lato" w:hAnsi="Lato" w:cstheme="minorHAnsi"/>
          <w:lang w:eastAsia="pl-PL"/>
        </w:rPr>
        <w:t>schemy</w:t>
      </w:r>
      <w:proofErr w:type="spellEnd"/>
      <w:r w:rsidRPr="00266C2A">
        <w:rPr>
          <w:rFonts w:ascii="Lato" w:hAnsi="Lato" w:cstheme="minorHAnsi"/>
          <w:lang w:eastAsia="pl-PL"/>
        </w:rPr>
        <w:t xml:space="preserve"> słownika). W przypadku procesowania zmiany, przedłużenia,</w:t>
      </w:r>
      <w:r w:rsidR="004546F5" w:rsidRPr="00266C2A">
        <w:rPr>
          <w:rFonts w:ascii="Lato" w:hAnsi="Lato" w:cstheme="minorHAnsi"/>
          <w:lang w:eastAsia="pl-PL"/>
        </w:rPr>
        <w:t xml:space="preserve"> </w:t>
      </w:r>
      <w:r w:rsidRPr="00266C2A">
        <w:rPr>
          <w:rFonts w:ascii="Lato" w:hAnsi="Lato" w:cstheme="minorHAnsi"/>
          <w:lang w:eastAsia="pl-PL"/>
        </w:rPr>
        <w:t xml:space="preserve">cofnięcia pozwolenia pole „data wydania” jest nieedytowalne i wypełnione daną z PDR4014V1 </w:t>
      </w:r>
    </w:p>
    <w:p w14:paraId="0FC81F6C" w14:textId="77777777" w:rsidR="008C7DAD" w:rsidRPr="00266C2A" w:rsidRDefault="008C7DAD" w:rsidP="004B450E">
      <w:pPr>
        <w:pStyle w:val="Akapitzlist"/>
        <w:widowControl w:val="0"/>
        <w:numPr>
          <w:ilvl w:val="2"/>
          <w:numId w:val="12"/>
        </w:numPr>
        <w:spacing w:before="120" w:after="120"/>
        <w:rPr>
          <w:rFonts w:ascii="Lato" w:hAnsi="Lato" w:cstheme="minorHAnsi"/>
        </w:rPr>
      </w:pPr>
      <w:r w:rsidRPr="00266C2A">
        <w:rPr>
          <w:rFonts w:ascii="Lato" w:hAnsi="Lato" w:cstheme="minorHAnsi"/>
          <w:lang w:eastAsia="pl-PL"/>
        </w:rPr>
        <w:t>Zmiany w sekcji</w:t>
      </w:r>
      <w:r w:rsidRPr="00266C2A">
        <w:rPr>
          <w:rFonts w:ascii="Lato" w:hAnsi="Lato" w:cstheme="minorHAnsi"/>
        </w:rPr>
        <w:t xml:space="preserve"> „Miejsce składowe”:</w:t>
      </w:r>
    </w:p>
    <w:p w14:paraId="0B6A2CD5"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 xml:space="preserve">Do uzgodnienia i przenalizowania identyfikatory, które powinny znaleźć się w tej sekcji: Czy obecny „Numer identyfikacyjny miejsca składowego” ,ma zostać zamieniony na  zamieniony na </w:t>
      </w:r>
      <w:r w:rsidRPr="00266C2A">
        <w:rPr>
          <w:rFonts w:ascii="Lato" w:hAnsi="Lato" w:cstheme="minorHAnsi"/>
          <w:color w:val="FF0000"/>
        </w:rPr>
        <w:t xml:space="preserve">„Dodatkowy identyfikatora” typu n..3,, czy też „Dodatkowy identyfikator” ma być obsługiwany jako nowa dana. </w:t>
      </w:r>
    </w:p>
    <w:p w14:paraId="03469C82"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Identyfikatory (lub identyfikator) uzgodnione w punkcie poprzednim będą nadawane automatycznie łącznie z numerem pozwolenia w ramach zadania  podpisania (operacja „Wygeneruj numer”).</w:t>
      </w:r>
    </w:p>
    <w:p w14:paraId="46EED263" w14:textId="77777777" w:rsidR="008C7DAD" w:rsidRPr="00266C2A" w:rsidRDefault="008C7DAD" w:rsidP="004B450E">
      <w:pPr>
        <w:pStyle w:val="Akapitzlist"/>
        <w:widowControl w:val="0"/>
        <w:numPr>
          <w:ilvl w:val="2"/>
          <w:numId w:val="12"/>
        </w:numPr>
        <w:spacing w:before="120" w:after="120"/>
        <w:rPr>
          <w:rFonts w:ascii="Lato" w:hAnsi="Lato" w:cstheme="minorHAnsi"/>
        </w:rPr>
      </w:pPr>
      <w:r w:rsidRPr="00266C2A">
        <w:rPr>
          <w:rFonts w:ascii="Lato" w:hAnsi="Lato" w:cstheme="minorHAnsi"/>
        </w:rPr>
        <w:lastRenderedPageBreak/>
        <w:t xml:space="preserve">Zmiany w sekcji „Kontrolny urząd celny”: </w:t>
      </w:r>
    </w:p>
    <w:p w14:paraId="5309EB6B"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Podanie „Kontrolnego urzędu celnego” będzie wymagane, sekcja będzie rozwinięta na formularzu decyzji, należy zamienić słownik w tej sekcji na wskazany przez Zamawiającego (nowy, do ustalenia).</w:t>
      </w:r>
    </w:p>
    <w:p w14:paraId="3E995557" w14:textId="77777777" w:rsidR="008C7DAD" w:rsidRPr="00266C2A" w:rsidRDefault="008C7DAD" w:rsidP="004B450E">
      <w:pPr>
        <w:pStyle w:val="Akapitzlist"/>
        <w:widowControl w:val="0"/>
        <w:numPr>
          <w:ilvl w:val="2"/>
          <w:numId w:val="12"/>
        </w:numPr>
        <w:spacing w:before="120" w:after="120"/>
        <w:rPr>
          <w:rFonts w:ascii="Lato" w:hAnsi="Lato" w:cstheme="minorHAnsi"/>
        </w:rPr>
      </w:pPr>
      <w:r w:rsidRPr="00266C2A">
        <w:rPr>
          <w:rFonts w:ascii="Lato" w:hAnsi="Lato" w:cstheme="minorHAnsi"/>
        </w:rPr>
        <w:t>Zmiany w sekcji „Przeniesienie praw i obowiązków”:</w:t>
      </w:r>
    </w:p>
    <w:p w14:paraId="1B6BD2E9"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Jeżeli „Przeniesienie praw i obowiązków” = „Nie” to opis w tej sekcji powinien być pusty i niedostępny do wypełnienia.</w:t>
      </w:r>
    </w:p>
    <w:p w14:paraId="1286E221" w14:textId="77777777" w:rsidR="008C7DAD" w:rsidRPr="00266C2A" w:rsidRDefault="008C7DAD" w:rsidP="004B450E">
      <w:pPr>
        <w:pStyle w:val="Akapitzlist"/>
        <w:widowControl w:val="0"/>
        <w:numPr>
          <w:ilvl w:val="2"/>
          <w:numId w:val="12"/>
        </w:numPr>
        <w:spacing w:before="120" w:after="120"/>
        <w:rPr>
          <w:rFonts w:ascii="Lato" w:hAnsi="Lato" w:cstheme="minorHAnsi"/>
        </w:rPr>
      </w:pPr>
      <w:r w:rsidRPr="00266C2A">
        <w:rPr>
          <w:rFonts w:ascii="Lato" w:hAnsi="Lato" w:cstheme="minorHAnsi"/>
        </w:rPr>
        <w:t>Zmiany w sekcji „Uwagi ogólne” (D.6/3):</w:t>
      </w:r>
    </w:p>
    <w:p w14:paraId="5B9DC947"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Typ atrybutu ./</w:t>
      </w:r>
      <w:proofErr w:type="spellStart"/>
      <w:r w:rsidRPr="00266C2A">
        <w:rPr>
          <w:rFonts w:ascii="Lato" w:hAnsi="Lato" w:cstheme="minorHAnsi"/>
        </w:rPr>
        <w:t>UwagiOgolne</w:t>
      </w:r>
      <w:proofErr w:type="spellEnd"/>
      <w:r w:rsidRPr="00266C2A">
        <w:rPr>
          <w:rFonts w:ascii="Lato" w:hAnsi="Lato" w:cstheme="minorHAnsi"/>
        </w:rPr>
        <w:t>/@</w:t>
      </w:r>
      <w:proofErr w:type="spellStart"/>
      <w:r w:rsidRPr="00266C2A">
        <w:rPr>
          <w:rFonts w:ascii="Lato" w:hAnsi="Lato" w:cstheme="minorHAnsi"/>
        </w:rPr>
        <w:t>tresc</w:t>
      </w:r>
      <w:proofErr w:type="spellEnd"/>
      <w:r w:rsidRPr="00266C2A">
        <w:rPr>
          <w:rFonts w:ascii="Lato" w:hAnsi="Lato" w:cstheme="minorHAnsi"/>
        </w:rPr>
        <w:t xml:space="preserve"> zostanie zmieniony na tekstowy (bez ograniczenia długości)</w:t>
      </w:r>
    </w:p>
    <w:p w14:paraId="4F3F98F6"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Nazwa sekcji (etykieta na formularzu) zostanie zmieniona na „Warunki pozwolenia”.</w:t>
      </w:r>
    </w:p>
    <w:p w14:paraId="55DBEBFC" w14:textId="77777777" w:rsidR="008C7DAD" w:rsidRPr="00266C2A" w:rsidRDefault="008C7DAD" w:rsidP="004B450E">
      <w:pPr>
        <w:pStyle w:val="Akapitzlist"/>
        <w:widowControl w:val="0"/>
        <w:numPr>
          <w:ilvl w:val="2"/>
          <w:numId w:val="12"/>
        </w:numPr>
        <w:spacing w:before="120" w:after="120"/>
        <w:rPr>
          <w:rFonts w:ascii="Lato" w:hAnsi="Lato" w:cstheme="minorHAnsi"/>
        </w:rPr>
      </w:pPr>
      <w:r w:rsidRPr="00266C2A">
        <w:rPr>
          <w:rFonts w:ascii="Lato" w:hAnsi="Lato" w:cstheme="minorHAnsi"/>
        </w:rPr>
        <w:t xml:space="preserve">Zmiany w wydrukach (PDF) decyzji-pozwoleń: </w:t>
      </w:r>
    </w:p>
    <w:p w14:paraId="70F8FB7C"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W polu „Geograficzny obszar ważności – Unia”  – do kodu zostanie dodany opis, jak na wniosku</w:t>
      </w:r>
    </w:p>
    <w:p w14:paraId="1AD4B531"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Z opisu pola „Kod rodzaju decyzji” usunąć „typ składu”</w:t>
      </w:r>
    </w:p>
    <w:p w14:paraId="6D37D710"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W sekcji „Zabezpieczenie” w polu „Kod określający wymagalność zabezpieczenia’ należy  dodać słowny opis, jak na wniosku i decyzji</w:t>
      </w:r>
    </w:p>
    <w:p w14:paraId="12427ED8"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Przemieszczenie towarów – trzeba zwijać sekcję, gdy w decyzji nie wypełniono danych przemieszczeń.</w:t>
      </w:r>
    </w:p>
    <w:p w14:paraId="1C08EC07"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Usunięte zostaną wszystkie etykiety z Zał. A.</w:t>
      </w:r>
    </w:p>
    <w:p w14:paraId="1D538DEE"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Należy uzgodnić z Zamawiającym sposób wizualizacji sekcji „Identyfikacja towarów” w ramach sekcji „Towary ekwiwalentne”.</w:t>
      </w:r>
    </w:p>
    <w:p w14:paraId="29789E95"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Należy ujednolicić klauzulę RODO z  uzgodnioną dla już wdrożonych obszarów.</w:t>
      </w:r>
    </w:p>
    <w:p w14:paraId="136879AC" w14:textId="77777777" w:rsidR="008C7DAD" w:rsidRPr="00266C2A" w:rsidRDefault="008C7DAD" w:rsidP="004B450E">
      <w:pPr>
        <w:pStyle w:val="Akapitzlist"/>
        <w:widowControl w:val="0"/>
        <w:numPr>
          <w:ilvl w:val="1"/>
          <w:numId w:val="10"/>
        </w:numPr>
        <w:spacing w:before="120" w:after="120"/>
        <w:rPr>
          <w:rFonts w:ascii="Lato" w:hAnsi="Lato" w:cstheme="minorHAnsi"/>
        </w:rPr>
      </w:pPr>
      <w:r w:rsidRPr="00266C2A">
        <w:rPr>
          <w:rFonts w:ascii="Lato" w:hAnsi="Lato" w:cstheme="minorHAnsi"/>
        </w:rPr>
        <w:t>„Podstawa prawna”, „Sentencja”, „Uzasadnienie”, „Pouczenie”  zostaną wyłączone do osobnej sekcji wydruku</w:t>
      </w:r>
    </w:p>
    <w:p w14:paraId="35BB5D97" w14:textId="7182005A" w:rsidR="000915E7" w:rsidRPr="00266C2A" w:rsidRDefault="008C7DAD" w:rsidP="004B450E">
      <w:pPr>
        <w:widowControl w:val="0"/>
        <w:spacing w:before="120" w:after="120" w:line="240" w:lineRule="auto"/>
        <w:rPr>
          <w:rFonts w:ascii="Lato" w:hAnsi="Lato" w:cstheme="minorHAnsi"/>
          <w:sz w:val="24"/>
          <w:szCs w:val="24"/>
        </w:rPr>
      </w:pPr>
      <w:r w:rsidRPr="00266C2A">
        <w:rPr>
          <w:rFonts w:ascii="Lato" w:hAnsi="Lato" w:cstheme="minorHAnsi"/>
          <w:sz w:val="24"/>
          <w:szCs w:val="24"/>
        </w:rPr>
        <w:t>„Uwagi ogólne” (Warunki pozwolenia ) będą drukowane jako ostatnia sekcja pozwolenia.</w:t>
      </w:r>
    </w:p>
    <w:p w14:paraId="409816CE" w14:textId="5E4F4787" w:rsidR="005E27D4" w:rsidRPr="00266C2A" w:rsidRDefault="005E27D4" w:rsidP="00955463">
      <w:pPr>
        <w:widowControl w:val="0"/>
        <w:spacing w:before="120" w:after="120" w:line="240" w:lineRule="auto"/>
        <w:rPr>
          <w:rFonts w:ascii="Lato" w:hAnsi="Lato" w:cstheme="minorHAnsi"/>
          <w:sz w:val="24"/>
          <w:szCs w:val="24"/>
        </w:rPr>
      </w:pPr>
    </w:p>
    <w:p w14:paraId="375E364F" w14:textId="3841D571" w:rsidR="00C002AC" w:rsidRPr="00266C2A" w:rsidRDefault="00C002AC" w:rsidP="00C002AC">
      <w:pPr>
        <w:rPr>
          <w:rFonts w:ascii="Lato" w:hAnsi="Lato"/>
          <w:color w:val="7030A0"/>
        </w:rPr>
      </w:pPr>
      <w:r w:rsidRPr="00266C2A">
        <w:rPr>
          <w:rFonts w:ascii="Lato" w:hAnsi="Lato"/>
          <w:b/>
          <w:color w:val="7030A0"/>
        </w:rPr>
        <w:t>Funkcjonalność zapewniająca wsadowy import</w:t>
      </w:r>
      <w:r w:rsidRPr="00266C2A">
        <w:rPr>
          <w:rFonts w:ascii="Lato" w:hAnsi="Lato"/>
          <w:color w:val="7030A0"/>
        </w:rPr>
        <w:t>.</w:t>
      </w:r>
    </w:p>
    <w:p w14:paraId="345643C0" w14:textId="77777777" w:rsidR="00C002AC" w:rsidRPr="00266C2A" w:rsidRDefault="00C002AC" w:rsidP="00C002AC">
      <w:pPr>
        <w:rPr>
          <w:rFonts w:ascii="Lato" w:hAnsi="Lato"/>
          <w:color w:val="7030A0"/>
        </w:rPr>
      </w:pPr>
      <w:r w:rsidRPr="00266C2A">
        <w:rPr>
          <w:rFonts w:ascii="Lato" w:hAnsi="Lato"/>
        </w:rPr>
        <w:object w:dxaOrig="1553" w:dyaOrig="993" w14:anchorId="2415D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49.7pt" o:ole="">
            <v:imagedata r:id="rId8" o:title=""/>
          </v:shape>
          <o:OLEObject Type="Embed" ProgID="Excel.Sheet.12" ShapeID="_x0000_i1025" DrawAspect="Icon" ObjectID="_1769946527" r:id="rId9"/>
        </w:object>
      </w:r>
    </w:p>
    <w:p w14:paraId="6C71E86D" w14:textId="77777777" w:rsidR="00C002AC" w:rsidRPr="00266C2A" w:rsidRDefault="00C002AC" w:rsidP="00C002AC">
      <w:pPr>
        <w:rPr>
          <w:rFonts w:ascii="Lato" w:hAnsi="Lato"/>
          <w:b/>
          <w:color w:val="7030A0"/>
        </w:rPr>
      </w:pPr>
      <w:r w:rsidRPr="00266C2A">
        <w:rPr>
          <w:rFonts w:ascii="Lato" w:hAnsi="Lato"/>
          <w:color w:val="7030A0"/>
        </w:rPr>
        <w:t xml:space="preserve">Uwaga: </w:t>
      </w:r>
      <w:r w:rsidRPr="00266C2A">
        <w:rPr>
          <w:rFonts w:ascii="Lato" w:hAnsi="Lato"/>
          <w:b/>
          <w:color w:val="7030A0"/>
        </w:rPr>
        <w:t xml:space="preserve">  </w:t>
      </w:r>
      <w:r w:rsidRPr="00266C2A">
        <w:rPr>
          <w:rFonts w:ascii="Lato" w:hAnsi="Lato"/>
          <w:b/>
          <w:color w:val="7030A0"/>
          <w:u w:val="single"/>
        </w:rPr>
        <w:t>funkcjonalność zapewniająca wsadowy</w:t>
      </w:r>
      <w:r w:rsidRPr="00266C2A">
        <w:rPr>
          <w:rFonts w:ascii="Lato" w:hAnsi="Lato"/>
          <w:b/>
          <w:color w:val="7030A0"/>
        </w:rPr>
        <w:t xml:space="preserve"> import dotyczy także produktów przetworzonych oraz miejsca przetwarzania lub użycia i zaleca się odpowiednio ją zaimplementować dla IPO, OPO, UES i i TEA, czyli tak jak jest w systemie CDS.</w:t>
      </w:r>
    </w:p>
    <w:p w14:paraId="68EE88F8" w14:textId="77777777" w:rsidR="00C002AC" w:rsidRPr="00266C2A" w:rsidRDefault="00C002AC" w:rsidP="00C002AC">
      <w:pPr>
        <w:rPr>
          <w:rFonts w:ascii="Lato" w:hAnsi="Lato"/>
          <w:b/>
          <w:color w:val="7030A0"/>
        </w:rPr>
      </w:pPr>
      <w:r w:rsidRPr="00266C2A">
        <w:rPr>
          <w:rFonts w:ascii="Lato" w:hAnsi="Lato"/>
          <w:b/>
          <w:color w:val="7030A0"/>
          <w:u w:val="single"/>
        </w:rPr>
        <w:t>Tabele dla OPO</w:t>
      </w:r>
      <w:r w:rsidRPr="00266C2A">
        <w:rPr>
          <w:rFonts w:ascii="Lato" w:hAnsi="Lato"/>
          <w:b/>
          <w:color w:val="7030A0"/>
        </w:rPr>
        <w:t>:</w:t>
      </w:r>
    </w:p>
    <w:p w14:paraId="2209772D" w14:textId="77777777" w:rsidR="00C002AC" w:rsidRPr="00266C2A" w:rsidRDefault="00C002AC" w:rsidP="00C002AC">
      <w:pPr>
        <w:rPr>
          <w:rFonts w:ascii="Lato" w:hAnsi="Lato"/>
        </w:rPr>
      </w:pPr>
      <w:r w:rsidRPr="00266C2A">
        <w:rPr>
          <w:rFonts w:ascii="Lato" w:hAnsi="Lato"/>
        </w:rPr>
        <w:object w:dxaOrig="1553" w:dyaOrig="993" w14:anchorId="748150E5">
          <v:shape id="_x0000_i1026" type="#_x0000_t75" style="width:78pt;height:49.7pt" o:ole="">
            <v:imagedata r:id="rId10" o:title=""/>
          </v:shape>
          <o:OLEObject Type="Embed" ProgID="Excel.Sheet.12" ShapeID="_x0000_i1026" DrawAspect="Icon" ObjectID="_1769946528" r:id="rId11"/>
        </w:object>
      </w:r>
      <w:bookmarkStart w:id="2" w:name="_MON_1769941861"/>
      <w:bookmarkEnd w:id="2"/>
      <w:r w:rsidRPr="00266C2A">
        <w:rPr>
          <w:rFonts w:ascii="Lato" w:hAnsi="Lato"/>
        </w:rPr>
        <w:object w:dxaOrig="1553" w:dyaOrig="993" w14:anchorId="20096238">
          <v:shape id="_x0000_i1027" type="#_x0000_t75" style="width:78pt;height:49.7pt" o:ole="">
            <v:imagedata r:id="rId12" o:title=""/>
          </v:shape>
          <o:OLEObject Type="Embed" ProgID="Excel.Sheet.12" ShapeID="_x0000_i1027" DrawAspect="Icon" ObjectID="_1769946529" r:id="rId13"/>
        </w:object>
      </w:r>
      <w:r w:rsidRPr="00266C2A">
        <w:rPr>
          <w:rFonts w:ascii="Lato" w:hAnsi="Lato"/>
        </w:rPr>
        <w:object w:dxaOrig="1553" w:dyaOrig="993" w14:anchorId="2309D018">
          <v:shape id="_x0000_i1028" type="#_x0000_t75" style="width:78pt;height:49.7pt" o:ole="">
            <v:imagedata r:id="rId14" o:title=""/>
          </v:shape>
          <o:OLEObject Type="Embed" ProgID="Excel.Sheet.12" ShapeID="_x0000_i1028" DrawAspect="Icon" ObjectID="_1769946530" r:id="rId15"/>
        </w:object>
      </w:r>
    </w:p>
    <w:p w14:paraId="602DAE18" w14:textId="77777777" w:rsidR="00C002AC" w:rsidRPr="00266C2A" w:rsidRDefault="00C002AC" w:rsidP="00C002AC">
      <w:pPr>
        <w:rPr>
          <w:rFonts w:ascii="Lato" w:hAnsi="Lato"/>
          <w:b/>
          <w:color w:val="7030A0"/>
          <w:u w:val="single"/>
        </w:rPr>
      </w:pPr>
      <w:r w:rsidRPr="00266C2A">
        <w:rPr>
          <w:rFonts w:ascii="Lato" w:hAnsi="Lato"/>
          <w:b/>
          <w:color w:val="7030A0"/>
          <w:u w:val="single"/>
        </w:rPr>
        <w:t>Tabele dla IPO:</w:t>
      </w:r>
    </w:p>
    <w:p w14:paraId="537CCA20" w14:textId="77777777" w:rsidR="00C002AC" w:rsidRPr="00266C2A" w:rsidRDefault="00C002AC" w:rsidP="00C002AC">
      <w:pPr>
        <w:rPr>
          <w:rFonts w:ascii="Lato" w:hAnsi="Lato"/>
          <w:b/>
          <w:color w:val="7030A0"/>
        </w:rPr>
      </w:pPr>
      <w:r w:rsidRPr="00266C2A">
        <w:rPr>
          <w:rFonts w:ascii="Lato" w:hAnsi="Lato"/>
        </w:rPr>
        <w:object w:dxaOrig="1553" w:dyaOrig="993" w14:anchorId="4A80E2B7">
          <v:shape id="_x0000_i1029" type="#_x0000_t75" style="width:78pt;height:49.7pt" o:ole="">
            <v:imagedata r:id="rId16" o:title=""/>
          </v:shape>
          <o:OLEObject Type="Embed" ProgID="Excel.Sheet.12" ShapeID="_x0000_i1029" DrawAspect="Icon" ObjectID="_1769946531" r:id="rId17"/>
        </w:object>
      </w:r>
      <w:r w:rsidRPr="00266C2A">
        <w:rPr>
          <w:rFonts w:ascii="Lato" w:hAnsi="Lato"/>
        </w:rPr>
        <w:object w:dxaOrig="1553" w:dyaOrig="993" w14:anchorId="4D865096">
          <v:shape id="_x0000_i1030" type="#_x0000_t75" style="width:78pt;height:49.7pt" o:ole="">
            <v:imagedata r:id="rId18" o:title=""/>
          </v:shape>
          <o:OLEObject Type="Embed" ProgID="Excel.Sheet.12" ShapeID="_x0000_i1030" DrawAspect="Icon" ObjectID="_1769946532" r:id="rId19"/>
        </w:object>
      </w:r>
      <w:r w:rsidRPr="00266C2A">
        <w:rPr>
          <w:rFonts w:ascii="Lato" w:hAnsi="Lato"/>
        </w:rPr>
        <w:object w:dxaOrig="1553" w:dyaOrig="993" w14:anchorId="34CE569F">
          <v:shape id="_x0000_i1031" type="#_x0000_t75" style="width:78pt;height:49.7pt" o:ole="">
            <v:imagedata r:id="rId20" o:title=""/>
          </v:shape>
          <o:OLEObject Type="Embed" ProgID="Excel.Sheet.12" ShapeID="_x0000_i1031" DrawAspect="Icon" ObjectID="_1769946533" r:id="rId21"/>
        </w:object>
      </w:r>
    </w:p>
    <w:p w14:paraId="75630DAE" w14:textId="77777777" w:rsidR="00C002AC" w:rsidRPr="00266C2A" w:rsidRDefault="00C002AC" w:rsidP="00C002AC">
      <w:pPr>
        <w:rPr>
          <w:rFonts w:ascii="Lato" w:hAnsi="Lato"/>
          <w:b/>
          <w:color w:val="7030A0"/>
          <w:u w:val="single"/>
        </w:rPr>
      </w:pPr>
      <w:r w:rsidRPr="00266C2A">
        <w:rPr>
          <w:rFonts w:ascii="Lato" w:hAnsi="Lato"/>
          <w:b/>
          <w:color w:val="7030A0"/>
          <w:u w:val="single"/>
        </w:rPr>
        <w:t>Tabele dla EUS:</w:t>
      </w:r>
    </w:p>
    <w:p w14:paraId="7410C72A" w14:textId="77777777" w:rsidR="00C002AC" w:rsidRPr="00266C2A" w:rsidRDefault="00C002AC" w:rsidP="00C002AC">
      <w:pPr>
        <w:rPr>
          <w:rFonts w:ascii="Lato" w:hAnsi="Lato"/>
          <w:b/>
          <w:color w:val="7030A0"/>
        </w:rPr>
      </w:pPr>
      <w:r w:rsidRPr="00266C2A">
        <w:rPr>
          <w:rFonts w:ascii="Lato" w:hAnsi="Lato"/>
        </w:rPr>
        <w:object w:dxaOrig="1553" w:dyaOrig="993" w14:anchorId="6ADDDA37">
          <v:shape id="_x0000_i1032" type="#_x0000_t75" style="width:78pt;height:49.7pt" o:ole="">
            <v:imagedata r:id="rId22" o:title=""/>
          </v:shape>
          <o:OLEObject Type="Embed" ProgID="Excel.Sheet.12" ShapeID="_x0000_i1032" DrawAspect="Icon" ObjectID="_1769946534" r:id="rId23"/>
        </w:object>
      </w:r>
      <w:r w:rsidRPr="00266C2A">
        <w:rPr>
          <w:rFonts w:ascii="Lato" w:hAnsi="Lato"/>
        </w:rPr>
        <w:object w:dxaOrig="1553" w:dyaOrig="993" w14:anchorId="5C09629F">
          <v:shape id="_x0000_i1033" type="#_x0000_t75" style="width:78pt;height:49.7pt" o:ole="">
            <v:imagedata r:id="rId24" o:title=""/>
          </v:shape>
          <o:OLEObject Type="Embed" ProgID="Excel.Sheet.12" ShapeID="_x0000_i1033" DrawAspect="Icon" ObjectID="_1769946535" r:id="rId25"/>
        </w:object>
      </w:r>
      <w:r w:rsidRPr="00266C2A">
        <w:rPr>
          <w:rFonts w:ascii="Lato" w:hAnsi="Lato"/>
        </w:rPr>
        <w:object w:dxaOrig="1553" w:dyaOrig="993" w14:anchorId="6F19444D">
          <v:shape id="_x0000_i1034" type="#_x0000_t75" style="width:78pt;height:49.7pt" o:ole="">
            <v:imagedata r:id="rId26" o:title=""/>
          </v:shape>
          <o:OLEObject Type="Embed" ProgID="Excel.Sheet.12" ShapeID="_x0000_i1034" DrawAspect="Icon" ObjectID="_1769946536" r:id="rId27"/>
        </w:object>
      </w:r>
    </w:p>
    <w:p w14:paraId="616477FE" w14:textId="77777777" w:rsidR="005E27D4" w:rsidRPr="00266C2A" w:rsidRDefault="005E27D4" w:rsidP="004B450E">
      <w:pPr>
        <w:widowControl w:val="0"/>
        <w:spacing w:before="120" w:after="120" w:line="240" w:lineRule="auto"/>
        <w:rPr>
          <w:rFonts w:ascii="Lato" w:hAnsi="Lato" w:cstheme="minorHAnsi"/>
          <w:sz w:val="24"/>
          <w:szCs w:val="24"/>
        </w:rPr>
      </w:pPr>
    </w:p>
    <w:sectPr w:rsidR="005E27D4" w:rsidRPr="00266C2A">
      <w:footerReference w:type="defaul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0C5F82" w14:textId="77777777" w:rsidR="008B341C" w:rsidRDefault="008B341C" w:rsidP="00423998">
      <w:pPr>
        <w:spacing w:after="0" w:line="240" w:lineRule="auto"/>
      </w:pPr>
      <w:r>
        <w:separator/>
      </w:r>
    </w:p>
  </w:endnote>
  <w:endnote w:type="continuationSeparator" w:id="0">
    <w:p w14:paraId="7B4A909A" w14:textId="77777777" w:rsidR="008B341C" w:rsidRDefault="008B341C" w:rsidP="004239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Lato">
    <w:panose1 w:val="020F0502020204030203"/>
    <w:charset w:val="EE"/>
    <w:family w:val="swiss"/>
    <w:pitch w:val="variable"/>
    <w:sig w:usb0="800000AF" w:usb1="4000604A" w:usb2="00000000" w:usb3="00000000" w:csb0="0000009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7221347"/>
      <w:docPartObj>
        <w:docPartGallery w:val="Page Numbers (Bottom of Page)"/>
        <w:docPartUnique/>
      </w:docPartObj>
    </w:sdtPr>
    <w:sdtEndPr/>
    <w:sdtContent>
      <w:p w14:paraId="2BBA4F2B" w14:textId="1215B5A8" w:rsidR="006A60A2" w:rsidRDefault="006A60A2">
        <w:pPr>
          <w:pStyle w:val="Stopka"/>
          <w:jc w:val="right"/>
        </w:pPr>
        <w:r>
          <w:fldChar w:fldCharType="begin"/>
        </w:r>
        <w:r>
          <w:instrText>PAGE   \* MERGEFORMAT</w:instrText>
        </w:r>
        <w:r>
          <w:fldChar w:fldCharType="separate"/>
        </w:r>
        <w:r w:rsidR="00266C2A">
          <w:rPr>
            <w:noProof/>
          </w:rPr>
          <w:t>1</w:t>
        </w:r>
        <w:r>
          <w:fldChar w:fldCharType="end"/>
        </w:r>
      </w:p>
    </w:sdtContent>
  </w:sdt>
  <w:p w14:paraId="07F63BDC" w14:textId="77777777" w:rsidR="006A60A2" w:rsidRDefault="006A60A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E5DF23" w14:textId="77777777" w:rsidR="008B341C" w:rsidRDefault="008B341C" w:rsidP="00423998">
      <w:pPr>
        <w:spacing w:after="0" w:line="240" w:lineRule="auto"/>
      </w:pPr>
      <w:r>
        <w:separator/>
      </w:r>
    </w:p>
  </w:footnote>
  <w:footnote w:type="continuationSeparator" w:id="0">
    <w:p w14:paraId="26F3A1CB" w14:textId="77777777" w:rsidR="008B341C" w:rsidRDefault="008B341C" w:rsidP="0042399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231072"/>
    <w:multiLevelType w:val="multilevel"/>
    <w:tmpl w:val="5492C6D6"/>
    <w:lvl w:ilvl="0">
      <w:start w:val="1"/>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07F621FF"/>
    <w:multiLevelType w:val="multilevel"/>
    <w:tmpl w:val="F1A01C6A"/>
    <w:lvl w:ilvl="0">
      <w:start w:val="1"/>
      <w:numFmt w:val="bullet"/>
      <w:lvlText w:val=""/>
      <w:lvlJc w:val="left"/>
      <w:pPr>
        <w:tabs>
          <w:tab w:val="num" w:pos="0"/>
        </w:tabs>
        <w:ind w:left="1021" w:hanging="301"/>
      </w:pPr>
      <w:rPr>
        <w:rFonts w:ascii="Symbol" w:hAnsi="Symbol" w:cs="Symbol" w:hint="default"/>
      </w:rPr>
    </w:lvl>
    <w:lvl w:ilvl="1">
      <w:start w:val="1"/>
      <w:numFmt w:val="bullet"/>
      <w:lvlText w:val=""/>
      <w:lvlJc w:val="left"/>
      <w:pPr>
        <w:tabs>
          <w:tab w:val="num" w:pos="0"/>
        </w:tabs>
        <w:ind w:left="1440" w:hanging="360"/>
      </w:pPr>
      <w:rPr>
        <w:rFonts w:ascii="Symbol" w:hAnsi="Symbo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09D551A7"/>
    <w:multiLevelType w:val="multilevel"/>
    <w:tmpl w:val="84E0F6F4"/>
    <w:lvl w:ilvl="0">
      <w:start w:val="1"/>
      <w:numFmt w:val="bullet"/>
      <w:lvlText w:val=""/>
      <w:lvlJc w:val="left"/>
      <w:pPr>
        <w:tabs>
          <w:tab w:val="num" w:pos="0"/>
        </w:tabs>
        <w:ind w:left="644" w:hanging="360"/>
      </w:pPr>
      <w:rPr>
        <w:rFonts w:ascii="Symbol" w:hAnsi="Symbol" w:cs="Symbol" w:hint="default"/>
      </w:rPr>
    </w:lvl>
    <w:lvl w:ilvl="1">
      <w:start w:val="1"/>
      <w:numFmt w:val="bullet"/>
      <w:lvlText w:val=""/>
      <w:lvlJc w:val="left"/>
      <w:pPr>
        <w:tabs>
          <w:tab w:val="num" w:pos="0"/>
        </w:tabs>
        <w:ind w:left="1440" w:hanging="360"/>
      </w:pPr>
      <w:rPr>
        <w:rFonts w:ascii="Symbol" w:hAnsi="Symbol" w:hint="default"/>
      </w:rPr>
    </w:lvl>
    <w:lvl w:ilvl="2">
      <w:numFmt w:val="bullet"/>
      <w:lvlText w:val="•"/>
      <w:lvlJc w:val="left"/>
      <w:pPr>
        <w:tabs>
          <w:tab w:val="num" w:pos="0"/>
        </w:tabs>
        <w:ind w:left="2160" w:hanging="360"/>
      </w:pPr>
      <w:rPr>
        <w:rFonts w:ascii="Arial" w:hAnsi="Arial" w:cs="Arial"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16D35A20"/>
    <w:multiLevelType w:val="hybridMultilevel"/>
    <w:tmpl w:val="CE3A4106"/>
    <w:lvl w:ilvl="0" w:tplc="0DD0262C">
      <w:start w:val="1"/>
      <w:numFmt w:val="decimal"/>
      <w:lvlText w:val="%1."/>
      <w:lvlJc w:val="left"/>
      <w:pPr>
        <w:ind w:left="2087" w:hanging="360"/>
      </w:pPr>
      <w:rPr>
        <w:rFonts w:hint="default"/>
        <w:color w:val="auto"/>
      </w:rPr>
    </w:lvl>
    <w:lvl w:ilvl="1" w:tplc="04150019" w:tentative="1">
      <w:start w:val="1"/>
      <w:numFmt w:val="lowerLetter"/>
      <w:lvlText w:val="%2."/>
      <w:lvlJc w:val="left"/>
      <w:pPr>
        <w:ind w:left="2807" w:hanging="360"/>
      </w:pPr>
    </w:lvl>
    <w:lvl w:ilvl="2" w:tplc="0415001B" w:tentative="1">
      <w:start w:val="1"/>
      <w:numFmt w:val="lowerRoman"/>
      <w:lvlText w:val="%3."/>
      <w:lvlJc w:val="right"/>
      <w:pPr>
        <w:ind w:left="3527" w:hanging="180"/>
      </w:pPr>
    </w:lvl>
    <w:lvl w:ilvl="3" w:tplc="0415000F" w:tentative="1">
      <w:start w:val="1"/>
      <w:numFmt w:val="decimal"/>
      <w:lvlText w:val="%4."/>
      <w:lvlJc w:val="left"/>
      <w:pPr>
        <w:ind w:left="4247" w:hanging="360"/>
      </w:pPr>
    </w:lvl>
    <w:lvl w:ilvl="4" w:tplc="04150019" w:tentative="1">
      <w:start w:val="1"/>
      <w:numFmt w:val="lowerLetter"/>
      <w:lvlText w:val="%5."/>
      <w:lvlJc w:val="left"/>
      <w:pPr>
        <w:ind w:left="4967" w:hanging="360"/>
      </w:pPr>
    </w:lvl>
    <w:lvl w:ilvl="5" w:tplc="0415001B" w:tentative="1">
      <w:start w:val="1"/>
      <w:numFmt w:val="lowerRoman"/>
      <w:lvlText w:val="%6."/>
      <w:lvlJc w:val="right"/>
      <w:pPr>
        <w:ind w:left="5687" w:hanging="180"/>
      </w:pPr>
    </w:lvl>
    <w:lvl w:ilvl="6" w:tplc="0415000F" w:tentative="1">
      <w:start w:val="1"/>
      <w:numFmt w:val="decimal"/>
      <w:lvlText w:val="%7."/>
      <w:lvlJc w:val="left"/>
      <w:pPr>
        <w:ind w:left="6407" w:hanging="360"/>
      </w:pPr>
    </w:lvl>
    <w:lvl w:ilvl="7" w:tplc="04150019" w:tentative="1">
      <w:start w:val="1"/>
      <w:numFmt w:val="lowerLetter"/>
      <w:lvlText w:val="%8."/>
      <w:lvlJc w:val="left"/>
      <w:pPr>
        <w:ind w:left="7127" w:hanging="360"/>
      </w:pPr>
    </w:lvl>
    <w:lvl w:ilvl="8" w:tplc="0415001B" w:tentative="1">
      <w:start w:val="1"/>
      <w:numFmt w:val="lowerRoman"/>
      <w:lvlText w:val="%9."/>
      <w:lvlJc w:val="right"/>
      <w:pPr>
        <w:ind w:left="7847" w:hanging="180"/>
      </w:pPr>
    </w:lvl>
  </w:abstractNum>
  <w:abstractNum w:abstractNumId="4" w15:restartNumberingAfterBreak="0">
    <w:nsid w:val="258934FD"/>
    <w:multiLevelType w:val="multilevel"/>
    <w:tmpl w:val="7E7615BE"/>
    <w:lvl w:ilvl="0">
      <w:start w:val="1"/>
      <w:numFmt w:val="decimal"/>
      <w:lvlText w:val="%1."/>
      <w:lvlJc w:val="left"/>
      <w:pPr>
        <w:tabs>
          <w:tab w:val="num" w:pos="0"/>
        </w:tabs>
        <w:ind w:left="360" w:hanging="360"/>
      </w:pPr>
    </w:lvl>
    <w:lvl w:ilvl="1">
      <w:start w:val="8"/>
      <w:numFmt w:val="decimal"/>
      <w:lvlText w:val="%1.%2."/>
      <w:lvlJc w:val="left"/>
      <w:pPr>
        <w:tabs>
          <w:tab w:val="num" w:pos="0"/>
        </w:tabs>
        <w:ind w:left="720" w:hanging="360"/>
      </w:pPr>
      <w:rPr>
        <w:sz w:val="20"/>
        <w:szCs w:val="20"/>
      </w:r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5" w15:restartNumberingAfterBreak="0">
    <w:nsid w:val="271F0768"/>
    <w:multiLevelType w:val="multilevel"/>
    <w:tmpl w:val="BA9A157C"/>
    <w:lvl w:ilvl="0">
      <w:start w:val="1"/>
      <w:numFmt w:val="bullet"/>
      <w:lvlText w:val=""/>
      <w:lvlJc w:val="left"/>
      <w:pPr>
        <w:tabs>
          <w:tab w:val="num" w:pos="0"/>
        </w:tabs>
        <w:ind w:left="644" w:hanging="360"/>
      </w:pPr>
      <w:rPr>
        <w:rFonts w:ascii="Symbol" w:hAnsi="Symbol" w:cs="Symbol" w:hint="default"/>
      </w:rPr>
    </w:lvl>
    <w:lvl w:ilvl="1">
      <w:start w:val="1"/>
      <w:numFmt w:val="bullet"/>
      <w:lvlText w:val=""/>
      <w:lvlJc w:val="left"/>
      <w:pPr>
        <w:tabs>
          <w:tab w:val="num" w:pos="0"/>
        </w:tabs>
        <w:ind w:left="1440" w:hanging="360"/>
      </w:pPr>
      <w:rPr>
        <w:rFonts w:ascii="Symbol" w:hAnsi="Symbol" w:hint="default"/>
      </w:rPr>
    </w:lvl>
    <w:lvl w:ilvl="2">
      <w:numFmt w:val="bullet"/>
      <w:lvlText w:val="•"/>
      <w:lvlJc w:val="left"/>
      <w:pPr>
        <w:tabs>
          <w:tab w:val="num" w:pos="0"/>
        </w:tabs>
        <w:ind w:left="2160" w:hanging="360"/>
      </w:pPr>
      <w:rPr>
        <w:rFonts w:ascii="Arial" w:hAnsi="Arial" w:cs="Arial"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29154123"/>
    <w:multiLevelType w:val="multilevel"/>
    <w:tmpl w:val="1D1C1946"/>
    <w:lvl w:ilvl="0">
      <w:start w:val="1"/>
      <w:numFmt w:val="decimal"/>
      <w:pStyle w:val="Tabelatrenumerowanie"/>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2FF20FAF"/>
    <w:multiLevelType w:val="multilevel"/>
    <w:tmpl w:val="E200A6B4"/>
    <w:lvl w:ilvl="0">
      <w:start w:val="1"/>
      <w:numFmt w:val="decimal"/>
      <w:lvlText w:val="%1."/>
      <w:lvlJc w:val="left"/>
      <w:pPr>
        <w:tabs>
          <w:tab w:val="num" w:pos="0"/>
        </w:tabs>
        <w:ind w:left="360" w:hanging="360"/>
      </w:pPr>
    </w:lvl>
    <w:lvl w:ilvl="1">
      <w:start w:val="1"/>
      <w:numFmt w:val="decimal"/>
      <w:lvlText w:val="%1.%2."/>
      <w:lvlJc w:val="left"/>
      <w:pPr>
        <w:tabs>
          <w:tab w:val="num" w:pos="0"/>
        </w:tabs>
        <w:ind w:left="716" w:hanging="432"/>
      </w:pPr>
    </w:lvl>
    <w:lvl w:ilvl="2">
      <w:start w:val="1"/>
      <w:numFmt w:val="decimal"/>
      <w:lvlText w:val="%1.%2.%3."/>
      <w:lvlJc w:val="left"/>
      <w:pPr>
        <w:tabs>
          <w:tab w:val="num" w:pos="0"/>
        </w:tabs>
        <w:ind w:left="1355" w:hanging="504"/>
      </w:pPr>
      <w:rPr>
        <w:b w:val="0"/>
        <w:bCs w:val="0"/>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8" w15:restartNumberingAfterBreak="0">
    <w:nsid w:val="3F7F2D27"/>
    <w:multiLevelType w:val="multilevel"/>
    <w:tmpl w:val="E592B754"/>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440" w:hanging="360"/>
      </w:pPr>
      <w:rPr>
        <w:rFonts w:ascii="Symbol" w:hAnsi="Symbo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42D40A77"/>
    <w:multiLevelType w:val="multilevel"/>
    <w:tmpl w:val="5066DF4C"/>
    <w:lvl w:ilvl="0">
      <w:start w:val="1"/>
      <w:numFmt w:val="bullet"/>
      <w:pStyle w:val="Tabela-wyliczenie"/>
      <w:lvlText w:val=""/>
      <w:lvlJc w:val="left"/>
      <w:pPr>
        <w:tabs>
          <w:tab w:val="num" w:pos="473"/>
        </w:tabs>
        <w:ind w:left="284" w:hanging="171"/>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434C09EF"/>
    <w:multiLevelType w:val="multilevel"/>
    <w:tmpl w:val="0415001F"/>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1" w15:restartNumberingAfterBreak="0">
    <w:nsid w:val="46A44FE4"/>
    <w:multiLevelType w:val="multilevel"/>
    <w:tmpl w:val="2A60FF9E"/>
    <w:lvl w:ilvl="0">
      <w:start w:val="1"/>
      <w:numFmt w:val="bullet"/>
      <w:lvlText w:val=""/>
      <w:lvlJc w:val="left"/>
      <w:pPr>
        <w:tabs>
          <w:tab w:val="num" w:pos="0"/>
        </w:tabs>
        <w:ind w:left="644" w:hanging="360"/>
      </w:pPr>
      <w:rPr>
        <w:rFonts w:ascii="Symbol" w:hAnsi="Symbol" w:cs="Symbol" w:hint="default"/>
      </w:rPr>
    </w:lvl>
    <w:lvl w:ilvl="1">
      <w:start w:val="1"/>
      <w:numFmt w:val="bullet"/>
      <w:lvlText w:val=""/>
      <w:lvlJc w:val="left"/>
      <w:pPr>
        <w:tabs>
          <w:tab w:val="num" w:pos="0"/>
        </w:tabs>
        <w:ind w:left="1440" w:hanging="360"/>
      </w:pPr>
      <w:rPr>
        <w:rFonts w:ascii="Symbol" w:hAnsi="Symbol" w:hint="default"/>
      </w:rPr>
    </w:lvl>
    <w:lvl w:ilvl="2">
      <w:numFmt w:val="bullet"/>
      <w:lvlText w:val="•"/>
      <w:lvlJc w:val="left"/>
      <w:pPr>
        <w:tabs>
          <w:tab w:val="num" w:pos="0"/>
        </w:tabs>
        <w:ind w:left="2160" w:hanging="360"/>
      </w:pPr>
      <w:rPr>
        <w:rFonts w:ascii="Arial" w:hAnsi="Arial" w:cs="Arial"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48B17AD3"/>
    <w:multiLevelType w:val="multilevel"/>
    <w:tmpl w:val="8A00BC28"/>
    <w:lvl w:ilvl="0">
      <w:start w:val="1"/>
      <w:numFmt w:val="bullet"/>
      <w:lvlText w:val=""/>
      <w:lvlJc w:val="left"/>
      <w:pPr>
        <w:tabs>
          <w:tab w:val="num" w:pos="0"/>
        </w:tabs>
        <w:ind w:left="644"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numFmt w:val="bullet"/>
      <w:lvlText w:val="•"/>
      <w:lvlJc w:val="left"/>
      <w:pPr>
        <w:tabs>
          <w:tab w:val="num" w:pos="0"/>
        </w:tabs>
        <w:ind w:left="2160" w:hanging="360"/>
      </w:pPr>
      <w:rPr>
        <w:rFonts w:ascii="Arial" w:hAnsi="Arial" w:cs="Arial"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5519592E"/>
    <w:multiLevelType w:val="multilevel"/>
    <w:tmpl w:val="1572FC2A"/>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440" w:hanging="360"/>
      </w:pPr>
      <w:rPr>
        <w:rFonts w:ascii="Symbol" w:hAnsi="Symbo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55931F34"/>
    <w:multiLevelType w:val="hybridMultilevel"/>
    <w:tmpl w:val="27B6CC4A"/>
    <w:lvl w:ilvl="0" w:tplc="D998547A">
      <w:start w:val="1"/>
      <w:numFmt w:val="decimal"/>
      <w:lvlText w:val="%1."/>
      <w:lvlJc w:val="left"/>
      <w:pPr>
        <w:ind w:left="2447" w:hanging="360"/>
      </w:pPr>
      <w:rPr>
        <w:color w:val="auto"/>
      </w:rPr>
    </w:lvl>
    <w:lvl w:ilvl="1" w:tplc="04150019" w:tentative="1">
      <w:start w:val="1"/>
      <w:numFmt w:val="lowerLetter"/>
      <w:lvlText w:val="%2."/>
      <w:lvlJc w:val="left"/>
      <w:pPr>
        <w:ind w:left="3167" w:hanging="360"/>
      </w:pPr>
    </w:lvl>
    <w:lvl w:ilvl="2" w:tplc="0415001B" w:tentative="1">
      <w:start w:val="1"/>
      <w:numFmt w:val="lowerRoman"/>
      <w:lvlText w:val="%3."/>
      <w:lvlJc w:val="right"/>
      <w:pPr>
        <w:ind w:left="3887" w:hanging="180"/>
      </w:pPr>
    </w:lvl>
    <w:lvl w:ilvl="3" w:tplc="0415000F" w:tentative="1">
      <w:start w:val="1"/>
      <w:numFmt w:val="decimal"/>
      <w:lvlText w:val="%4."/>
      <w:lvlJc w:val="left"/>
      <w:pPr>
        <w:ind w:left="4607" w:hanging="360"/>
      </w:pPr>
    </w:lvl>
    <w:lvl w:ilvl="4" w:tplc="04150019" w:tentative="1">
      <w:start w:val="1"/>
      <w:numFmt w:val="lowerLetter"/>
      <w:lvlText w:val="%5."/>
      <w:lvlJc w:val="left"/>
      <w:pPr>
        <w:ind w:left="5327" w:hanging="360"/>
      </w:pPr>
    </w:lvl>
    <w:lvl w:ilvl="5" w:tplc="0415001B" w:tentative="1">
      <w:start w:val="1"/>
      <w:numFmt w:val="lowerRoman"/>
      <w:lvlText w:val="%6."/>
      <w:lvlJc w:val="right"/>
      <w:pPr>
        <w:ind w:left="6047" w:hanging="180"/>
      </w:pPr>
    </w:lvl>
    <w:lvl w:ilvl="6" w:tplc="0415000F" w:tentative="1">
      <w:start w:val="1"/>
      <w:numFmt w:val="decimal"/>
      <w:lvlText w:val="%7."/>
      <w:lvlJc w:val="left"/>
      <w:pPr>
        <w:ind w:left="6767" w:hanging="360"/>
      </w:pPr>
    </w:lvl>
    <w:lvl w:ilvl="7" w:tplc="04150019" w:tentative="1">
      <w:start w:val="1"/>
      <w:numFmt w:val="lowerLetter"/>
      <w:lvlText w:val="%8."/>
      <w:lvlJc w:val="left"/>
      <w:pPr>
        <w:ind w:left="7487" w:hanging="360"/>
      </w:pPr>
    </w:lvl>
    <w:lvl w:ilvl="8" w:tplc="0415001B" w:tentative="1">
      <w:start w:val="1"/>
      <w:numFmt w:val="lowerRoman"/>
      <w:lvlText w:val="%9."/>
      <w:lvlJc w:val="right"/>
      <w:pPr>
        <w:ind w:left="8207" w:hanging="180"/>
      </w:pPr>
    </w:lvl>
  </w:abstractNum>
  <w:abstractNum w:abstractNumId="15" w15:restartNumberingAfterBreak="0">
    <w:nsid w:val="56AF2E33"/>
    <w:multiLevelType w:val="multilevel"/>
    <w:tmpl w:val="4BE4DA4A"/>
    <w:lvl w:ilvl="0">
      <w:start w:val="1"/>
      <w:numFmt w:val="decimal"/>
      <w:lvlText w:val="%1"/>
      <w:lvlJc w:val="left"/>
      <w:pPr>
        <w:tabs>
          <w:tab w:val="num" w:pos="0"/>
        </w:tabs>
        <w:ind w:left="360" w:hanging="360"/>
      </w:pPr>
    </w:lvl>
    <w:lvl w:ilvl="1">
      <w:start w:val="7"/>
      <w:numFmt w:val="decimal"/>
      <w:lvlText w:val="%1.%2"/>
      <w:lvlJc w:val="left"/>
      <w:pPr>
        <w:tabs>
          <w:tab w:val="num" w:pos="0"/>
        </w:tabs>
        <w:ind w:left="808" w:hanging="360"/>
      </w:pPr>
    </w:lvl>
    <w:lvl w:ilvl="2">
      <w:start w:val="1"/>
      <w:numFmt w:val="decimal"/>
      <w:lvlText w:val="%1.%2.%3"/>
      <w:lvlJc w:val="left"/>
      <w:pPr>
        <w:tabs>
          <w:tab w:val="num" w:pos="0"/>
        </w:tabs>
        <w:ind w:left="1616" w:hanging="720"/>
      </w:pPr>
    </w:lvl>
    <w:lvl w:ilvl="3">
      <w:start w:val="1"/>
      <w:numFmt w:val="decimal"/>
      <w:lvlText w:val="%1.%2.%3.%4"/>
      <w:lvlJc w:val="left"/>
      <w:pPr>
        <w:tabs>
          <w:tab w:val="num" w:pos="0"/>
        </w:tabs>
        <w:ind w:left="2064" w:hanging="720"/>
      </w:pPr>
    </w:lvl>
    <w:lvl w:ilvl="4">
      <w:start w:val="1"/>
      <w:numFmt w:val="decimal"/>
      <w:lvlText w:val="%1.%2.%3.%4.%5"/>
      <w:lvlJc w:val="left"/>
      <w:pPr>
        <w:tabs>
          <w:tab w:val="num" w:pos="0"/>
        </w:tabs>
        <w:ind w:left="2872" w:hanging="1080"/>
      </w:pPr>
    </w:lvl>
    <w:lvl w:ilvl="5">
      <w:start w:val="1"/>
      <w:numFmt w:val="decimal"/>
      <w:lvlText w:val="%1.%2.%3.%4.%5.%6"/>
      <w:lvlJc w:val="left"/>
      <w:pPr>
        <w:tabs>
          <w:tab w:val="num" w:pos="0"/>
        </w:tabs>
        <w:ind w:left="3320" w:hanging="1080"/>
      </w:pPr>
    </w:lvl>
    <w:lvl w:ilvl="6">
      <w:start w:val="1"/>
      <w:numFmt w:val="decimal"/>
      <w:lvlText w:val="%1.%2.%3.%4.%5.%6.%7"/>
      <w:lvlJc w:val="left"/>
      <w:pPr>
        <w:tabs>
          <w:tab w:val="num" w:pos="0"/>
        </w:tabs>
        <w:ind w:left="4128" w:hanging="1440"/>
      </w:pPr>
    </w:lvl>
    <w:lvl w:ilvl="7">
      <w:start w:val="1"/>
      <w:numFmt w:val="decimal"/>
      <w:lvlText w:val="%1.%2.%3.%4.%5.%6.%7.%8"/>
      <w:lvlJc w:val="left"/>
      <w:pPr>
        <w:tabs>
          <w:tab w:val="num" w:pos="0"/>
        </w:tabs>
        <w:ind w:left="4576" w:hanging="1440"/>
      </w:pPr>
    </w:lvl>
    <w:lvl w:ilvl="8">
      <w:start w:val="1"/>
      <w:numFmt w:val="decimal"/>
      <w:lvlText w:val="%1.%2.%3.%4.%5.%6.%7.%8.%9"/>
      <w:lvlJc w:val="left"/>
      <w:pPr>
        <w:tabs>
          <w:tab w:val="num" w:pos="0"/>
        </w:tabs>
        <w:ind w:left="5384" w:hanging="1800"/>
      </w:pPr>
    </w:lvl>
  </w:abstractNum>
  <w:abstractNum w:abstractNumId="16" w15:restartNumberingAfterBreak="0">
    <w:nsid w:val="5C962B9B"/>
    <w:multiLevelType w:val="multilevel"/>
    <w:tmpl w:val="288C1132"/>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440" w:hanging="360"/>
      </w:pPr>
      <w:rPr>
        <w:rFonts w:ascii="Symbol" w:hAnsi="Symbo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61316188"/>
    <w:multiLevelType w:val="multilevel"/>
    <w:tmpl w:val="B1C09E74"/>
    <w:lvl w:ilvl="0">
      <w:start w:val="1"/>
      <w:numFmt w:val="bullet"/>
      <w:lvlText w:val=""/>
      <w:lvlJc w:val="left"/>
      <w:pPr>
        <w:tabs>
          <w:tab w:val="num" w:pos="0"/>
        </w:tabs>
        <w:ind w:left="644" w:hanging="360"/>
      </w:pPr>
      <w:rPr>
        <w:rFonts w:ascii="Symbol" w:hAnsi="Symbol" w:cs="Symbol" w:hint="default"/>
      </w:rPr>
    </w:lvl>
    <w:lvl w:ilvl="1">
      <w:start w:val="1"/>
      <w:numFmt w:val="bullet"/>
      <w:lvlText w:val=""/>
      <w:lvlJc w:val="left"/>
      <w:pPr>
        <w:tabs>
          <w:tab w:val="num" w:pos="0"/>
        </w:tabs>
        <w:ind w:left="1440" w:hanging="360"/>
      </w:pPr>
      <w:rPr>
        <w:rFonts w:ascii="Symbol" w:hAnsi="Symbol" w:hint="default"/>
      </w:rPr>
    </w:lvl>
    <w:lvl w:ilvl="2">
      <w:numFmt w:val="bullet"/>
      <w:lvlText w:val="•"/>
      <w:lvlJc w:val="left"/>
      <w:pPr>
        <w:tabs>
          <w:tab w:val="num" w:pos="0"/>
        </w:tabs>
        <w:ind w:left="2160" w:hanging="360"/>
      </w:pPr>
      <w:rPr>
        <w:rFonts w:ascii="Arial" w:hAnsi="Arial" w:cs="Arial"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15:restartNumberingAfterBreak="0">
    <w:nsid w:val="63BA141C"/>
    <w:multiLevelType w:val="multilevel"/>
    <w:tmpl w:val="7A405EA2"/>
    <w:lvl w:ilvl="0">
      <w:start w:val="1"/>
      <w:numFmt w:val="bullet"/>
      <w:lvlText w:val=""/>
      <w:lvlJc w:val="left"/>
      <w:pPr>
        <w:tabs>
          <w:tab w:val="num" w:pos="0"/>
        </w:tabs>
        <w:ind w:left="644" w:hanging="360"/>
      </w:pPr>
      <w:rPr>
        <w:rFonts w:ascii="Symbol" w:hAnsi="Symbol" w:cs="Symbol" w:hint="default"/>
      </w:rPr>
    </w:lvl>
    <w:lvl w:ilvl="1">
      <w:start w:val="1"/>
      <w:numFmt w:val="bullet"/>
      <w:lvlText w:val=""/>
      <w:lvlJc w:val="left"/>
      <w:pPr>
        <w:tabs>
          <w:tab w:val="num" w:pos="0"/>
        </w:tabs>
        <w:ind w:left="1440" w:hanging="360"/>
      </w:pPr>
      <w:rPr>
        <w:rFonts w:ascii="Symbol" w:hAnsi="Symbol" w:hint="default"/>
      </w:rPr>
    </w:lvl>
    <w:lvl w:ilvl="2">
      <w:numFmt w:val="bullet"/>
      <w:lvlText w:val="•"/>
      <w:lvlJc w:val="left"/>
      <w:pPr>
        <w:tabs>
          <w:tab w:val="num" w:pos="0"/>
        </w:tabs>
        <w:ind w:left="2160" w:hanging="360"/>
      </w:pPr>
      <w:rPr>
        <w:rFonts w:ascii="Arial" w:hAnsi="Arial" w:cs="Arial"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6A0F12B1"/>
    <w:multiLevelType w:val="multilevel"/>
    <w:tmpl w:val="6EC6052A"/>
    <w:lvl w:ilvl="0">
      <w:start w:val="1"/>
      <w:numFmt w:val="decimal"/>
      <w:lvlText w:val="%1."/>
      <w:lvlJc w:val="left"/>
      <w:pPr>
        <w:tabs>
          <w:tab w:val="num" w:pos="0"/>
        </w:tabs>
        <w:ind w:left="357" w:hanging="357"/>
      </w:pPr>
    </w:lvl>
    <w:lvl w:ilvl="1">
      <w:start w:val="1"/>
      <w:numFmt w:val="decimal"/>
      <w:lvlText w:val="%1.%2."/>
      <w:lvlJc w:val="left"/>
      <w:pPr>
        <w:tabs>
          <w:tab w:val="num" w:pos="0"/>
        </w:tabs>
        <w:ind w:left="714" w:hanging="357"/>
      </w:pPr>
      <w:rPr>
        <w:b w:val="0"/>
        <w:bCs w:val="0"/>
      </w:rPr>
    </w:lvl>
    <w:lvl w:ilvl="2">
      <w:start w:val="1"/>
      <w:numFmt w:val="decimal"/>
      <w:lvlText w:val="%1.%2.%3."/>
      <w:lvlJc w:val="left"/>
      <w:pPr>
        <w:tabs>
          <w:tab w:val="num" w:pos="0"/>
        </w:tabs>
        <w:ind w:left="1071" w:hanging="357"/>
      </w:pPr>
    </w:lvl>
    <w:lvl w:ilvl="3">
      <w:start w:val="1"/>
      <w:numFmt w:val="decimal"/>
      <w:lvlText w:val="%1.%2.%3.%4."/>
      <w:lvlJc w:val="left"/>
      <w:pPr>
        <w:tabs>
          <w:tab w:val="num" w:pos="0"/>
        </w:tabs>
        <w:ind w:left="1428" w:hanging="357"/>
      </w:pPr>
    </w:lvl>
    <w:lvl w:ilvl="4">
      <w:start w:val="1"/>
      <w:numFmt w:val="decimal"/>
      <w:lvlText w:val="%1.%2.%3.%4.%5."/>
      <w:lvlJc w:val="left"/>
      <w:pPr>
        <w:tabs>
          <w:tab w:val="num" w:pos="0"/>
        </w:tabs>
        <w:ind w:left="1785" w:hanging="357"/>
      </w:pPr>
    </w:lvl>
    <w:lvl w:ilvl="5">
      <w:start w:val="1"/>
      <w:numFmt w:val="decimal"/>
      <w:lvlText w:val="%1.%2.%3.%4.%5.%6."/>
      <w:lvlJc w:val="left"/>
      <w:pPr>
        <w:tabs>
          <w:tab w:val="num" w:pos="0"/>
        </w:tabs>
        <w:ind w:left="2142" w:hanging="357"/>
      </w:pPr>
    </w:lvl>
    <w:lvl w:ilvl="6">
      <w:start w:val="1"/>
      <w:numFmt w:val="decimal"/>
      <w:lvlText w:val="%1.%2.%3.%4.%5.%6.%7."/>
      <w:lvlJc w:val="left"/>
      <w:pPr>
        <w:tabs>
          <w:tab w:val="num" w:pos="0"/>
        </w:tabs>
        <w:ind w:left="2499" w:hanging="357"/>
      </w:pPr>
    </w:lvl>
    <w:lvl w:ilvl="7">
      <w:start w:val="1"/>
      <w:numFmt w:val="decimal"/>
      <w:lvlText w:val="%1.%2.%3.%4.%5.%6.%7.%8."/>
      <w:lvlJc w:val="left"/>
      <w:pPr>
        <w:tabs>
          <w:tab w:val="num" w:pos="0"/>
        </w:tabs>
        <w:ind w:left="2856" w:hanging="357"/>
      </w:pPr>
    </w:lvl>
    <w:lvl w:ilvl="8">
      <w:start w:val="1"/>
      <w:numFmt w:val="decimal"/>
      <w:lvlText w:val="%1.%2.%3.%4.%5.%6.%7.%8.%9."/>
      <w:lvlJc w:val="left"/>
      <w:pPr>
        <w:tabs>
          <w:tab w:val="num" w:pos="0"/>
        </w:tabs>
        <w:ind w:left="3213" w:hanging="357"/>
      </w:pPr>
    </w:lvl>
  </w:abstractNum>
  <w:abstractNum w:abstractNumId="20" w15:restartNumberingAfterBreak="0">
    <w:nsid w:val="6FEC0CC0"/>
    <w:multiLevelType w:val="multilevel"/>
    <w:tmpl w:val="9BA49110"/>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440" w:hanging="360"/>
      </w:pPr>
      <w:rPr>
        <w:rFonts w:ascii="Symbol" w:hAnsi="Symbo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1" w15:restartNumberingAfterBreak="0">
    <w:nsid w:val="70361FDA"/>
    <w:multiLevelType w:val="multilevel"/>
    <w:tmpl w:val="6F5489E4"/>
    <w:lvl w:ilvl="0">
      <w:start w:val="1"/>
      <w:numFmt w:val="decimal"/>
      <w:lvlText w:val="%1."/>
      <w:lvlJc w:val="left"/>
      <w:pPr>
        <w:tabs>
          <w:tab w:val="num" w:pos="0"/>
        </w:tabs>
        <w:ind w:left="360" w:hanging="360"/>
      </w:pPr>
    </w:lvl>
    <w:lvl w:ilvl="1">
      <w:start w:val="3"/>
      <w:numFmt w:val="decimal"/>
      <w:lvlText w:val="%1.%2."/>
      <w:lvlJc w:val="left"/>
      <w:pPr>
        <w:tabs>
          <w:tab w:val="num" w:pos="0"/>
        </w:tabs>
        <w:ind w:left="792" w:hanging="432"/>
      </w:pPr>
      <w:rPr>
        <w:b w:val="0"/>
        <w:bCs w:val="0"/>
      </w:rPr>
    </w:lvl>
    <w:lvl w:ilvl="2">
      <w:start w:val="1"/>
      <w:numFmt w:val="decimal"/>
      <w:lvlText w:val="%1.%2.%3."/>
      <w:lvlJc w:val="left"/>
      <w:pPr>
        <w:tabs>
          <w:tab w:val="num" w:pos="0"/>
        </w:tabs>
        <w:ind w:left="1072" w:hanging="504"/>
      </w:pPr>
      <w:rPr>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2" w15:restartNumberingAfterBreak="0">
    <w:nsid w:val="77CE592D"/>
    <w:multiLevelType w:val="multilevel"/>
    <w:tmpl w:val="DB5266BC"/>
    <w:lvl w:ilvl="0">
      <w:start w:val="2"/>
      <w:numFmt w:val="decimal"/>
      <w:lvlText w:val="%1."/>
      <w:lvlJc w:val="left"/>
      <w:pPr>
        <w:tabs>
          <w:tab w:val="num" w:pos="0"/>
        </w:tabs>
        <w:ind w:left="495" w:hanging="495"/>
      </w:pPr>
    </w:lvl>
    <w:lvl w:ilvl="1">
      <w:start w:val="3"/>
      <w:numFmt w:val="decimal"/>
      <w:lvlText w:val="%1.%2."/>
      <w:lvlJc w:val="left"/>
      <w:pPr>
        <w:tabs>
          <w:tab w:val="num" w:pos="0"/>
        </w:tabs>
        <w:ind w:left="855" w:hanging="495"/>
      </w:pPr>
      <w:rPr>
        <w:b w:val="0"/>
      </w:r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23" w15:restartNumberingAfterBreak="0">
    <w:nsid w:val="7A986AB1"/>
    <w:multiLevelType w:val="multilevel"/>
    <w:tmpl w:val="0415001F"/>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6"/>
  </w:num>
  <w:num w:numId="2">
    <w:abstractNumId w:val="21"/>
  </w:num>
  <w:num w:numId="3">
    <w:abstractNumId w:val="15"/>
  </w:num>
  <w:num w:numId="4">
    <w:abstractNumId w:val="4"/>
  </w:num>
  <w:num w:numId="5">
    <w:abstractNumId w:val="9"/>
  </w:num>
  <w:num w:numId="6">
    <w:abstractNumId w:val="22"/>
  </w:num>
  <w:num w:numId="7">
    <w:abstractNumId w:val="7"/>
  </w:num>
  <w:num w:numId="8">
    <w:abstractNumId w:val="23"/>
  </w:num>
  <w:num w:numId="9">
    <w:abstractNumId w:val="16"/>
  </w:num>
  <w:num w:numId="10">
    <w:abstractNumId w:val="1"/>
  </w:num>
  <w:num w:numId="11">
    <w:abstractNumId w:val="12"/>
  </w:num>
  <w:num w:numId="12">
    <w:abstractNumId w:val="19"/>
  </w:num>
  <w:num w:numId="13">
    <w:abstractNumId w:val="10"/>
  </w:num>
  <w:num w:numId="14">
    <w:abstractNumId w:val="14"/>
  </w:num>
  <w:num w:numId="15">
    <w:abstractNumId w:val="3"/>
  </w:num>
  <w:num w:numId="16">
    <w:abstractNumId w:val="0"/>
  </w:num>
  <w:num w:numId="17">
    <w:abstractNumId w:val="8"/>
  </w:num>
  <w:num w:numId="18">
    <w:abstractNumId w:val="20"/>
  </w:num>
  <w:num w:numId="19">
    <w:abstractNumId w:val="13"/>
  </w:num>
  <w:num w:numId="20">
    <w:abstractNumId w:val="5"/>
  </w:num>
  <w:num w:numId="21">
    <w:abstractNumId w:val="2"/>
  </w:num>
  <w:num w:numId="22">
    <w:abstractNumId w:val="17"/>
  </w:num>
  <w:num w:numId="23">
    <w:abstractNumId w:val="18"/>
  </w:num>
  <w:num w:numId="2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3998"/>
    <w:rsid w:val="00041FC4"/>
    <w:rsid w:val="00063645"/>
    <w:rsid w:val="000915E7"/>
    <w:rsid w:val="000E66EC"/>
    <w:rsid w:val="001110F1"/>
    <w:rsid w:val="00125FB0"/>
    <w:rsid w:val="001271A6"/>
    <w:rsid w:val="00182E86"/>
    <w:rsid w:val="0019351E"/>
    <w:rsid w:val="001946B4"/>
    <w:rsid w:val="001B18D9"/>
    <w:rsid w:val="001B6ECB"/>
    <w:rsid w:val="001C24F8"/>
    <w:rsid w:val="001C5AC7"/>
    <w:rsid w:val="002418F6"/>
    <w:rsid w:val="00244353"/>
    <w:rsid w:val="00266C2A"/>
    <w:rsid w:val="00271DD3"/>
    <w:rsid w:val="002C290A"/>
    <w:rsid w:val="002E7E3A"/>
    <w:rsid w:val="003B251D"/>
    <w:rsid w:val="003B41F9"/>
    <w:rsid w:val="003C3D28"/>
    <w:rsid w:val="003D12F8"/>
    <w:rsid w:val="003D4619"/>
    <w:rsid w:val="003F41C2"/>
    <w:rsid w:val="00423998"/>
    <w:rsid w:val="0042741E"/>
    <w:rsid w:val="00451A48"/>
    <w:rsid w:val="004546F5"/>
    <w:rsid w:val="004B450E"/>
    <w:rsid w:val="004B5DB3"/>
    <w:rsid w:val="004C1106"/>
    <w:rsid w:val="004D382C"/>
    <w:rsid w:val="004D4C03"/>
    <w:rsid w:val="0057517E"/>
    <w:rsid w:val="00583E80"/>
    <w:rsid w:val="005A0A98"/>
    <w:rsid w:val="005A7B67"/>
    <w:rsid w:val="005E27D4"/>
    <w:rsid w:val="00630CBA"/>
    <w:rsid w:val="00643933"/>
    <w:rsid w:val="0065413D"/>
    <w:rsid w:val="00664C06"/>
    <w:rsid w:val="006A60A2"/>
    <w:rsid w:val="00747F4C"/>
    <w:rsid w:val="00782B39"/>
    <w:rsid w:val="007A1A91"/>
    <w:rsid w:val="00832956"/>
    <w:rsid w:val="008336DE"/>
    <w:rsid w:val="00834D3F"/>
    <w:rsid w:val="00874E4E"/>
    <w:rsid w:val="008A75A1"/>
    <w:rsid w:val="008B341C"/>
    <w:rsid w:val="008C7DAD"/>
    <w:rsid w:val="00925C09"/>
    <w:rsid w:val="00927796"/>
    <w:rsid w:val="00944935"/>
    <w:rsid w:val="00955463"/>
    <w:rsid w:val="009F0156"/>
    <w:rsid w:val="00A6565B"/>
    <w:rsid w:val="00AC38FF"/>
    <w:rsid w:val="00B0551C"/>
    <w:rsid w:val="00B662FF"/>
    <w:rsid w:val="00BB20F4"/>
    <w:rsid w:val="00BB6630"/>
    <w:rsid w:val="00BE2369"/>
    <w:rsid w:val="00C002AC"/>
    <w:rsid w:val="00C33224"/>
    <w:rsid w:val="00C814CD"/>
    <w:rsid w:val="00C9419D"/>
    <w:rsid w:val="00D17A2F"/>
    <w:rsid w:val="00D25D08"/>
    <w:rsid w:val="00D90DC3"/>
    <w:rsid w:val="00D977FF"/>
    <w:rsid w:val="00DB4A3B"/>
    <w:rsid w:val="00E039F3"/>
    <w:rsid w:val="00E20C4C"/>
    <w:rsid w:val="00E7777B"/>
    <w:rsid w:val="00EB49A8"/>
    <w:rsid w:val="00EF0489"/>
    <w:rsid w:val="00EF4F3B"/>
    <w:rsid w:val="00F37F03"/>
    <w:rsid w:val="00F42167"/>
    <w:rsid w:val="00F56F18"/>
    <w:rsid w:val="00F64303"/>
    <w:rsid w:val="00F9160A"/>
    <w:rsid w:val="00FE65D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2864B3"/>
  <w15:chartTrackingRefBased/>
  <w15:docId w15:val="{F51C1A0B-1675-4535-BFC3-7BABDCDCE1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AkapitzlistZnak">
    <w:name w:val="Akapit z listą Znak"/>
    <w:link w:val="Akapitzlist"/>
    <w:uiPriority w:val="34"/>
    <w:qFormat/>
    <w:locked/>
    <w:rsid w:val="00423998"/>
    <w:rPr>
      <w:sz w:val="24"/>
      <w:szCs w:val="24"/>
      <w:lang w:eastAsia="ar-SA"/>
    </w:rPr>
  </w:style>
  <w:style w:type="paragraph" w:styleId="Akapitzlist">
    <w:name w:val="List Paragraph"/>
    <w:basedOn w:val="Normalny"/>
    <w:link w:val="AkapitzlistZnak"/>
    <w:uiPriority w:val="34"/>
    <w:qFormat/>
    <w:rsid w:val="00423998"/>
    <w:pPr>
      <w:suppressAutoHyphens/>
      <w:spacing w:after="0" w:line="240" w:lineRule="auto"/>
      <w:ind w:left="720"/>
    </w:pPr>
    <w:rPr>
      <w:sz w:val="24"/>
      <w:szCs w:val="24"/>
      <w:lang w:eastAsia="ar-SA"/>
    </w:rPr>
  </w:style>
  <w:style w:type="paragraph" w:customStyle="1" w:styleId="Tabelatrenumerowanie">
    <w:name w:val="Tabela treść numerowanie"/>
    <w:basedOn w:val="Normalny"/>
    <w:qFormat/>
    <w:rsid w:val="00423998"/>
    <w:pPr>
      <w:numPr>
        <w:numId w:val="1"/>
      </w:numPr>
      <w:spacing w:after="0" w:line="288" w:lineRule="auto"/>
    </w:pPr>
    <w:rPr>
      <w:rFonts w:ascii="Arial" w:eastAsia="Times New Roman" w:hAnsi="Arial" w:cs="Times New Roman"/>
      <w:sz w:val="20"/>
      <w:szCs w:val="20"/>
      <w:lang w:eastAsia="pl-PL"/>
    </w:rPr>
  </w:style>
  <w:style w:type="character" w:customStyle="1" w:styleId="TekstkomentarzaZnak">
    <w:name w:val="Tekst komentarza Znak"/>
    <w:basedOn w:val="Domylnaczcionkaakapitu"/>
    <w:link w:val="Tekstkomentarza"/>
    <w:qFormat/>
    <w:rsid w:val="000915E7"/>
  </w:style>
  <w:style w:type="character" w:styleId="Odwoaniedokomentarza">
    <w:name w:val="annotation reference"/>
    <w:qFormat/>
    <w:rsid w:val="000915E7"/>
    <w:rPr>
      <w:sz w:val="16"/>
    </w:rPr>
  </w:style>
  <w:style w:type="paragraph" w:styleId="Tekstkomentarza">
    <w:name w:val="annotation text"/>
    <w:basedOn w:val="Normalny"/>
    <w:link w:val="TekstkomentarzaZnak"/>
    <w:unhideWhenUsed/>
    <w:qFormat/>
    <w:rsid w:val="000915E7"/>
    <w:pPr>
      <w:spacing w:after="0" w:line="240" w:lineRule="auto"/>
    </w:pPr>
  </w:style>
  <w:style w:type="character" w:customStyle="1" w:styleId="TekstkomentarzaZnak1">
    <w:name w:val="Tekst komentarza Znak1"/>
    <w:basedOn w:val="Domylnaczcionkaakapitu"/>
    <w:uiPriority w:val="99"/>
    <w:semiHidden/>
    <w:rsid w:val="000915E7"/>
    <w:rPr>
      <w:sz w:val="20"/>
      <w:szCs w:val="20"/>
    </w:rPr>
  </w:style>
  <w:style w:type="character" w:customStyle="1" w:styleId="WW8Num3z0">
    <w:name w:val="WW8Num3z0"/>
    <w:qFormat/>
    <w:rsid w:val="000915E7"/>
    <w:rPr>
      <w:rFonts w:ascii="Times New Roman" w:hAnsi="Times New Roman" w:cs="Times New Roman"/>
      <w:b w:val="0"/>
      <w:i w:val="0"/>
      <w:color w:val="auto"/>
      <w:sz w:val="20"/>
    </w:rPr>
  </w:style>
  <w:style w:type="paragraph" w:customStyle="1" w:styleId="Tabela-wyliczenie">
    <w:name w:val="Tabela - wyliczenie"/>
    <w:basedOn w:val="Normalny"/>
    <w:autoRedefine/>
    <w:qFormat/>
    <w:rsid w:val="000915E7"/>
    <w:pPr>
      <w:numPr>
        <w:numId w:val="5"/>
      </w:numPr>
      <w:tabs>
        <w:tab w:val="left" w:pos="284"/>
      </w:tabs>
      <w:spacing w:before="20" w:after="20" w:line="240" w:lineRule="auto"/>
    </w:pPr>
    <w:rPr>
      <w:rFonts w:ascii="Arial" w:eastAsia="Times New Roman" w:hAnsi="Arial" w:cs="Arial"/>
      <w:bCs/>
      <w:sz w:val="18"/>
      <w:szCs w:val="18"/>
      <w:lang w:eastAsia="pl-PL"/>
    </w:rPr>
  </w:style>
  <w:style w:type="paragraph" w:styleId="Nagwek">
    <w:name w:val="header"/>
    <w:basedOn w:val="Normalny"/>
    <w:link w:val="NagwekZnak"/>
    <w:uiPriority w:val="99"/>
    <w:unhideWhenUsed/>
    <w:rsid w:val="006A60A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A60A2"/>
  </w:style>
  <w:style w:type="paragraph" w:styleId="Stopka">
    <w:name w:val="footer"/>
    <w:basedOn w:val="Normalny"/>
    <w:link w:val="StopkaZnak"/>
    <w:uiPriority w:val="99"/>
    <w:unhideWhenUsed/>
    <w:rsid w:val="006A60A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A60A2"/>
  </w:style>
  <w:style w:type="character" w:customStyle="1" w:styleId="xforms-label">
    <w:name w:val="xforms-label"/>
    <w:basedOn w:val="Domylnaczcionkaakapitu"/>
    <w:qFormat/>
    <w:rsid w:val="008C7D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package" Target="embeddings/Arkusz_programu_Microsoft_Excel2.xlsx"/><Relationship Id="rId18" Type="http://schemas.openxmlformats.org/officeDocument/2006/relationships/image" Target="media/image6.emf"/><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package" Target="embeddings/Arkusz_programu_Microsoft_Excel6.xlsx"/><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package" Target="embeddings/Arkusz_programu_Microsoft_Excel4.xlsx"/><Relationship Id="rId25" Type="http://schemas.openxmlformats.org/officeDocument/2006/relationships/package" Target="embeddings/Arkusz_programu_Microsoft_Excel8.xlsx"/><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Arkusz_programu_Microsoft_Excel1.xlsx"/><Relationship Id="rId24" Type="http://schemas.openxmlformats.org/officeDocument/2006/relationships/image" Target="media/image9.emf"/><Relationship Id="rId5" Type="http://schemas.openxmlformats.org/officeDocument/2006/relationships/webSettings" Target="webSettings.xml"/><Relationship Id="rId15" Type="http://schemas.openxmlformats.org/officeDocument/2006/relationships/package" Target="embeddings/Arkusz_programu_Microsoft_Excel3.xlsx"/><Relationship Id="rId23" Type="http://schemas.openxmlformats.org/officeDocument/2006/relationships/package" Target="embeddings/Arkusz_programu_Microsoft_Excel7.xlsx"/><Relationship Id="rId28"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package" Target="embeddings/Arkusz_programu_Microsoft_Excel5.xlsx"/><Relationship Id="rId4" Type="http://schemas.openxmlformats.org/officeDocument/2006/relationships/settings" Target="settings.xml"/><Relationship Id="rId9" Type="http://schemas.openxmlformats.org/officeDocument/2006/relationships/package" Target="embeddings/Arkusz_programu_Microsoft_Excel.xlsx"/><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package" Target="embeddings/Arkusz_programu_Microsoft_Excel9.xlsx"/><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1B3B9C-9349-43EF-9C80-75953B117D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128</TotalTime>
  <Pages>19</Pages>
  <Words>5957</Words>
  <Characters>35746</Characters>
  <Application>Microsoft Office Word</Application>
  <DocSecurity>0</DocSecurity>
  <Lines>297</Lines>
  <Paragraphs>83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41620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Szewełło Tamara</dc:creator>
  <cp:keywords/>
  <dc:description/>
  <cp:lastModifiedBy>Szymczak Damian</cp:lastModifiedBy>
  <cp:revision>19</cp:revision>
  <dcterms:created xsi:type="dcterms:W3CDTF">2024-01-31T12:57:00Z</dcterms:created>
  <dcterms:modified xsi:type="dcterms:W3CDTF">2024-02-20T14:02:00Z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FCATEGORY">
    <vt:lpwstr>InformacjePubliczneInformacjeSektoraPublicznego</vt:lpwstr>
  </property>
  <property fmtid="{D5CDD505-2E9C-101B-9397-08002B2CF9AE}" pid="3" name="MFClassifiedBy">
    <vt:lpwstr>UxC4dwLulzfINJ8nQH+xvX5LNGipWa4BRSZhPgxsCvkmmYvcndB6Vnhf9h0YwbJ2zHNNvEHsf/KvKUMkJmQrsA==</vt:lpwstr>
  </property>
  <property fmtid="{D5CDD505-2E9C-101B-9397-08002B2CF9AE}" pid="4" name="MFClassificationDate">
    <vt:lpwstr>2024-01-30T23:31:06.6851716+01:00</vt:lpwstr>
  </property>
  <property fmtid="{D5CDD505-2E9C-101B-9397-08002B2CF9AE}" pid="5" name="MFClassifiedBySID">
    <vt:lpwstr>UxC4dwLulzfINJ8nQH+xvX5LNGipWa4BRSZhPgxsCvm42mrIC/DSDv0ggS+FjUN/2v1BBotkLlY5aAiEhoi6ufPR/6L4ZIHAFZkXJqyhz1lHG1IZab4akVCCQiWP8Dx6</vt:lpwstr>
  </property>
  <property fmtid="{D5CDD505-2E9C-101B-9397-08002B2CF9AE}" pid="6" name="MFGRNItemId">
    <vt:lpwstr>GRN-4b399580-921d-41cf-aa53-5373aa9d6dae</vt:lpwstr>
  </property>
  <property fmtid="{D5CDD505-2E9C-101B-9397-08002B2CF9AE}" pid="7" name="MFHash">
    <vt:lpwstr>OiNPbCUxgYGHWn52vsKr0wY1CIpu6ejrHw/op/+rgIM=</vt:lpwstr>
  </property>
  <property fmtid="{D5CDD505-2E9C-101B-9397-08002B2CF9AE}" pid="8" name="DLPManualFileClassification">
    <vt:lpwstr>{2755b7d9-e53d-4779-a40c-03797dcf43b3}</vt:lpwstr>
  </property>
  <property fmtid="{D5CDD505-2E9C-101B-9397-08002B2CF9AE}" pid="9" name="MFRefresh">
    <vt:lpwstr>False</vt:lpwstr>
  </property>
</Properties>
</file>